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BD4F03" w14:textId="11BBE35F" w:rsidR="001E31B2" w:rsidRDefault="006B5E1C" w:rsidP="00F71A4E">
      <w:pPr>
        <w:pStyle w:val="Heading1"/>
        <w:spacing w:before="160" w:after="80"/>
      </w:pPr>
      <w:r>
        <w:rPr>
          <w:noProof/>
        </w:rPr>
        <w:drawing>
          <wp:anchor distT="0" distB="0" distL="114300" distR="114300" simplePos="0" relativeHeight="251658240" behindDoc="1" locked="0" layoutInCell="1" allowOverlap="1" wp14:anchorId="3FE0C9EC" wp14:editId="63611A6E">
            <wp:simplePos x="0" y="0"/>
            <wp:positionH relativeFrom="column">
              <wp:posOffset>6867525</wp:posOffset>
            </wp:positionH>
            <wp:positionV relativeFrom="paragraph">
              <wp:posOffset>0</wp:posOffset>
            </wp:positionV>
            <wp:extent cx="2038350" cy="765179"/>
            <wp:effectExtent l="0" t="0" r="0" b="0"/>
            <wp:wrapNone/>
            <wp:docPr id="1452484560"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2484560" name="Picture 1">
                      <a:extLst>
                        <a:ext uri="{C183D7F6-B498-43B3-948B-1728B52AA6E4}">
                          <adec:decorative xmlns:adec="http://schemas.microsoft.com/office/drawing/2017/decorative" val="1"/>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38350" cy="765179"/>
                    </a:xfrm>
                    <a:prstGeom prst="rect">
                      <a:avLst/>
                    </a:prstGeom>
                    <a:noFill/>
                    <a:ln>
                      <a:noFill/>
                    </a:ln>
                  </pic:spPr>
                </pic:pic>
              </a:graphicData>
            </a:graphic>
            <wp14:sizeRelH relativeFrom="margin">
              <wp14:pctWidth>0</wp14:pctWidth>
            </wp14:sizeRelH>
            <wp14:sizeRelV relativeFrom="margin">
              <wp14:pctHeight>0</wp14:pctHeight>
            </wp14:sizeRelV>
          </wp:anchor>
        </w:drawing>
      </w:r>
      <w:r>
        <w:t>American Government</w:t>
      </w:r>
    </w:p>
    <w:p w14:paraId="3F8CE755" w14:textId="4218A009" w:rsidR="001E31B2" w:rsidRDefault="002271C1">
      <w:pPr>
        <w:pStyle w:val="Heading2"/>
        <w:spacing w:before="160" w:after="80"/>
      </w:pPr>
      <w:r>
        <w:t>General Overview</w:t>
      </w:r>
    </w:p>
    <w:p w14:paraId="705CFD9E" w14:textId="211BEF6A" w:rsidR="009E6E37" w:rsidRPr="009E6E37" w:rsidRDefault="00807A6B" w:rsidP="001B54B8">
      <w:pPr>
        <w:spacing w:before="40" w:after="40"/>
      </w:pPr>
      <w:r>
        <w:t>The table below summarizes each unit's title, time frame, standards, content focus, assessments, resources, and differentiation supports.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Caption w:val="General Overview"/>
        <w:tblDescription w:val="This table provides a general overview of unit content information."/>
      </w:tblPr>
      <w:tblGrid>
        <w:gridCol w:w="1549"/>
        <w:gridCol w:w="2112"/>
        <w:gridCol w:w="2112"/>
        <w:gridCol w:w="2593"/>
        <w:gridCol w:w="2429"/>
        <w:gridCol w:w="3595"/>
      </w:tblGrid>
      <w:tr w:rsidR="001B54B8" w14:paraId="7DAE3055" w14:textId="3BB87ABB" w:rsidTr="001B54B8">
        <w:trPr>
          <w:cantSplit/>
          <w:tblHeader/>
        </w:trPr>
        <w:tc>
          <w:tcPr>
            <w:tcW w:w="538" w:type="pct"/>
            <w:shd w:val="clear" w:color="auto" w:fill="1F3864"/>
            <w:tcMar>
              <w:top w:w="100" w:type="dxa"/>
              <w:left w:w="160" w:type="dxa"/>
              <w:bottom w:w="100" w:type="dxa"/>
              <w:right w:w="160" w:type="dxa"/>
            </w:tcMar>
          </w:tcPr>
          <w:p w14:paraId="7CCBE5E7" w14:textId="77777777" w:rsidR="001B54B8" w:rsidRDefault="001B54B8">
            <w:pPr>
              <w:spacing w:before="40" w:after="40"/>
            </w:pPr>
            <w:r>
              <w:rPr>
                <w:b/>
                <w:bCs/>
                <w:color w:val="FFFFFF"/>
                <w:sz w:val="18"/>
                <w:szCs w:val="18"/>
              </w:rPr>
              <w:lastRenderedPageBreak/>
              <w:t>Section</w:t>
            </w:r>
          </w:p>
        </w:tc>
        <w:tc>
          <w:tcPr>
            <w:tcW w:w="734" w:type="pct"/>
            <w:shd w:val="clear" w:color="auto" w:fill="1B6B8A"/>
            <w:tcMar>
              <w:top w:w="100" w:type="dxa"/>
              <w:left w:w="160" w:type="dxa"/>
              <w:bottom w:w="100" w:type="dxa"/>
              <w:right w:w="160" w:type="dxa"/>
            </w:tcMar>
            <w:vAlign w:val="center"/>
          </w:tcPr>
          <w:p w14:paraId="353FC502" w14:textId="77777777" w:rsidR="001B54B8" w:rsidRDefault="001B54B8" w:rsidP="002271C1">
            <w:pPr>
              <w:spacing w:before="40" w:after="40"/>
              <w:jc w:val="center"/>
            </w:pPr>
            <w:r>
              <w:rPr>
                <w:b/>
                <w:bCs/>
                <w:color w:val="FFFFFF"/>
                <w:sz w:val="18"/>
                <w:szCs w:val="18"/>
              </w:rPr>
              <w:t>Unit 1</w:t>
            </w:r>
          </w:p>
        </w:tc>
        <w:tc>
          <w:tcPr>
            <w:tcW w:w="734" w:type="pct"/>
            <w:shd w:val="clear" w:color="auto" w:fill="1B6B8A"/>
            <w:tcMar>
              <w:top w:w="100" w:type="dxa"/>
              <w:left w:w="160" w:type="dxa"/>
              <w:bottom w:w="100" w:type="dxa"/>
              <w:right w:w="160" w:type="dxa"/>
            </w:tcMar>
            <w:vAlign w:val="center"/>
          </w:tcPr>
          <w:p w14:paraId="6A759B64" w14:textId="77777777" w:rsidR="001B54B8" w:rsidRDefault="001B54B8" w:rsidP="002271C1">
            <w:pPr>
              <w:spacing w:before="40" w:after="40"/>
              <w:jc w:val="center"/>
            </w:pPr>
            <w:r>
              <w:rPr>
                <w:b/>
                <w:bCs/>
                <w:color w:val="FFFFFF"/>
                <w:sz w:val="18"/>
                <w:szCs w:val="18"/>
              </w:rPr>
              <w:t>Unit 2</w:t>
            </w:r>
          </w:p>
        </w:tc>
        <w:tc>
          <w:tcPr>
            <w:tcW w:w="901" w:type="pct"/>
            <w:shd w:val="clear" w:color="auto" w:fill="1B6B8A"/>
            <w:tcMar>
              <w:top w:w="100" w:type="dxa"/>
              <w:left w:w="160" w:type="dxa"/>
              <w:bottom w:w="100" w:type="dxa"/>
              <w:right w:w="160" w:type="dxa"/>
            </w:tcMar>
            <w:vAlign w:val="center"/>
          </w:tcPr>
          <w:p w14:paraId="3CD737FA" w14:textId="77777777" w:rsidR="001B54B8" w:rsidRDefault="001B54B8" w:rsidP="002271C1">
            <w:pPr>
              <w:spacing w:before="40" w:after="40"/>
              <w:jc w:val="center"/>
            </w:pPr>
            <w:r>
              <w:rPr>
                <w:b/>
                <w:bCs/>
                <w:color w:val="FFFFFF"/>
                <w:sz w:val="18"/>
                <w:szCs w:val="18"/>
              </w:rPr>
              <w:t>Unit 3</w:t>
            </w:r>
          </w:p>
        </w:tc>
        <w:tc>
          <w:tcPr>
            <w:tcW w:w="844" w:type="pct"/>
            <w:shd w:val="clear" w:color="auto" w:fill="1B6B8A"/>
            <w:tcMar>
              <w:top w:w="100" w:type="dxa"/>
              <w:left w:w="160" w:type="dxa"/>
              <w:bottom w:w="100" w:type="dxa"/>
              <w:right w:w="160" w:type="dxa"/>
            </w:tcMar>
            <w:vAlign w:val="center"/>
          </w:tcPr>
          <w:p w14:paraId="278B33D5" w14:textId="77777777" w:rsidR="001B54B8" w:rsidRDefault="001B54B8" w:rsidP="002271C1">
            <w:pPr>
              <w:spacing w:before="40" w:after="40"/>
              <w:jc w:val="center"/>
            </w:pPr>
            <w:r>
              <w:rPr>
                <w:b/>
                <w:bCs/>
                <w:color w:val="FFFFFF"/>
                <w:sz w:val="18"/>
                <w:szCs w:val="18"/>
              </w:rPr>
              <w:t>Unit 4</w:t>
            </w:r>
          </w:p>
        </w:tc>
        <w:tc>
          <w:tcPr>
            <w:tcW w:w="1249" w:type="pct"/>
            <w:shd w:val="clear" w:color="auto" w:fill="1B6B8A"/>
            <w:tcMar>
              <w:top w:w="100" w:type="dxa"/>
              <w:left w:w="160" w:type="dxa"/>
              <w:bottom w:w="100" w:type="dxa"/>
              <w:right w:w="160" w:type="dxa"/>
            </w:tcMar>
            <w:vAlign w:val="center"/>
          </w:tcPr>
          <w:p w14:paraId="22504D32" w14:textId="77777777" w:rsidR="001B54B8" w:rsidRDefault="001B54B8" w:rsidP="002271C1">
            <w:pPr>
              <w:spacing w:before="40" w:after="40"/>
              <w:jc w:val="center"/>
            </w:pPr>
            <w:r>
              <w:rPr>
                <w:b/>
                <w:bCs/>
                <w:color w:val="FFFFFF"/>
                <w:sz w:val="18"/>
                <w:szCs w:val="18"/>
              </w:rPr>
              <w:t>Unit 5</w:t>
            </w:r>
          </w:p>
        </w:tc>
      </w:tr>
      <w:tr w:rsidR="001B54B8" w14:paraId="57D624D4" w14:textId="22EDEE4C" w:rsidTr="001B54B8">
        <w:trPr>
          <w:cantSplit/>
          <w:tblHeader/>
        </w:trPr>
        <w:tc>
          <w:tcPr>
            <w:tcW w:w="538" w:type="pct"/>
            <w:shd w:val="clear" w:color="auto" w:fill="EBF4F8"/>
            <w:tcMar>
              <w:top w:w="100" w:type="dxa"/>
              <w:left w:w="160" w:type="dxa"/>
              <w:bottom w:w="100" w:type="dxa"/>
              <w:right w:w="160" w:type="dxa"/>
            </w:tcMar>
          </w:tcPr>
          <w:p w14:paraId="1E811D6C" w14:textId="77777777" w:rsidR="001B54B8" w:rsidRDefault="001B54B8">
            <w:pPr>
              <w:spacing w:before="40" w:after="40"/>
            </w:pPr>
            <w:r>
              <w:rPr>
                <w:b/>
                <w:bCs/>
                <w:color w:val="1F3864"/>
                <w:sz w:val="19"/>
                <w:szCs w:val="19"/>
              </w:rPr>
              <w:t>Unit Name / Title</w:t>
            </w:r>
          </w:p>
        </w:tc>
        <w:tc>
          <w:tcPr>
            <w:tcW w:w="734" w:type="pct"/>
            <w:shd w:val="clear" w:color="auto" w:fill="FFFFFF" w:themeFill="background1"/>
            <w:tcMar>
              <w:top w:w="100" w:type="dxa"/>
              <w:left w:w="160" w:type="dxa"/>
              <w:bottom w:w="100" w:type="dxa"/>
              <w:right w:w="160" w:type="dxa"/>
            </w:tcMar>
            <w:vAlign w:val="center"/>
          </w:tcPr>
          <w:p w14:paraId="5A528B7A" w14:textId="77777777" w:rsidR="001B54B8" w:rsidRDefault="001B54B8" w:rsidP="7E517DCC">
            <w:pPr>
              <w:spacing w:before="40" w:after="40"/>
              <w:jc w:val="center"/>
            </w:pPr>
            <w:r>
              <w:t>Foundations and the United States Federal System of Government</w:t>
            </w:r>
          </w:p>
        </w:tc>
        <w:tc>
          <w:tcPr>
            <w:tcW w:w="734" w:type="pct"/>
            <w:shd w:val="clear" w:color="auto" w:fill="FFFFFF" w:themeFill="background1"/>
            <w:tcMar>
              <w:top w:w="100" w:type="dxa"/>
              <w:left w:w="160" w:type="dxa"/>
              <w:bottom w:w="100" w:type="dxa"/>
              <w:right w:w="160" w:type="dxa"/>
            </w:tcMar>
            <w:vAlign w:val="center"/>
          </w:tcPr>
          <w:p w14:paraId="2BBDBFF5" w14:textId="77777777" w:rsidR="001B54B8" w:rsidRDefault="001B54B8" w:rsidP="7E517DCC">
            <w:pPr>
              <w:spacing w:before="40" w:after="40"/>
              <w:jc w:val="center"/>
            </w:pPr>
            <w:r>
              <w:t>Legislative Branch</w:t>
            </w:r>
          </w:p>
        </w:tc>
        <w:tc>
          <w:tcPr>
            <w:tcW w:w="901" w:type="pct"/>
            <w:shd w:val="clear" w:color="auto" w:fill="FFFFFF" w:themeFill="background1"/>
            <w:tcMar>
              <w:top w:w="100" w:type="dxa"/>
              <w:left w:w="160" w:type="dxa"/>
              <w:bottom w:w="100" w:type="dxa"/>
              <w:right w:w="160" w:type="dxa"/>
            </w:tcMar>
            <w:vAlign w:val="center"/>
          </w:tcPr>
          <w:p w14:paraId="2979DE6A" w14:textId="77777777" w:rsidR="001B54B8" w:rsidRDefault="001B54B8" w:rsidP="7E517DCC">
            <w:pPr>
              <w:spacing w:before="40" w:after="40"/>
              <w:jc w:val="center"/>
            </w:pPr>
            <w:r>
              <w:t>Executive Branch</w:t>
            </w:r>
          </w:p>
        </w:tc>
        <w:tc>
          <w:tcPr>
            <w:tcW w:w="844" w:type="pct"/>
            <w:shd w:val="clear" w:color="auto" w:fill="FFFFFF" w:themeFill="background1"/>
            <w:tcMar>
              <w:top w:w="100" w:type="dxa"/>
              <w:left w:w="160" w:type="dxa"/>
              <w:bottom w:w="100" w:type="dxa"/>
              <w:right w:w="160" w:type="dxa"/>
            </w:tcMar>
            <w:vAlign w:val="center"/>
          </w:tcPr>
          <w:p w14:paraId="43565C21" w14:textId="77777777" w:rsidR="001B54B8" w:rsidRDefault="001B54B8" w:rsidP="7E517DCC">
            <w:pPr>
              <w:spacing w:before="40" w:after="40"/>
              <w:jc w:val="center"/>
            </w:pPr>
            <w:r>
              <w:t>Judicial Branch</w:t>
            </w:r>
          </w:p>
        </w:tc>
        <w:tc>
          <w:tcPr>
            <w:tcW w:w="1249" w:type="pct"/>
            <w:shd w:val="clear" w:color="auto" w:fill="FFFFFF" w:themeFill="background1"/>
            <w:tcMar>
              <w:top w:w="100" w:type="dxa"/>
              <w:left w:w="160" w:type="dxa"/>
              <w:bottom w:w="100" w:type="dxa"/>
              <w:right w:w="160" w:type="dxa"/>
            </w:tcMar>
            <w:vAlign w:val="center"/>
          </w:tcPr>
          <w:p w14:paraId="63192CBC" w14:textId="77777777" w:rsidR="001B54B8" w:rsidRDefault="001B54B8" w:rsidP="7E517DCC">
            <w:pPr>
              <w:spacing w:before="40" w:after="40"/>
              <w:jc w:val="center"/>
            </w:pPr>
            <w:r>
              <w:t>Georgia Government and State Constitution and Semester Work Days</w:t>
            </w:r>
          </w:p>
        </w:tc>
      </w:tr>
      <w:tr w:rsidR="001B54B8" w14:paraId="0700E6AD" w14:textId="31696C81" w:rsidTr="001B54B8">
        <w:trPr>
          <w:cantSplit/>
          <w:tblHeader/>
        </w:trPr>
        <w:tc>
          <w:tcPr>
            <w:tcW w:w="538" w:type="pct"/>
            <w:shd w:val="clear" w:color="auto" w:fill="EBF4F8"/>
            <w:tcMar>
              <w:top w:w="100" w:type="dxa"/>
              <w:left w:w="160" w:type="dxa"/>
              <w:bottom w:w="100" w:type="dxa"/>
              <w:right w:w="160" w:type="dxa"/>
            </w:tcMar>
          </w:tcPr>
          <w:p w14:paraId="4D4FAE82" w14:textId="77777777" w:rsidR="001B54B8" w:rsidRDefault="001B54B8">
            <w:pPr>
              <w:spacing w:before="40" w:after="40"/>
            </w:pPr>
            <w:r>
              <w:rPr>
                <w:b/>
                <w:bCs/>
                <w:color w:val="1F3864"/>
                <w:sz w:val="19"/>
                <w:szCs w:val="19"/>
              </w:rPr>
              <w:t>Time Frame</w:t>
            </w:r>
          </w:p>
        </w:tc>
        <w:tc>
          <w:tcPr>
            <w:tcW w:w="734" w:type="pct"/>
            <w:shd w:val="clear" w:color="auto" w:fill="FFFFFF" w:themeFill="background1"/>
            <w:tcMar>
              <w:top w:w="100" w:type="dxa"/>
              <w:left w:w="160" w:type="dxa"/>
              <w:bottom w:w="100" w:type="dxa"/>
              <w:right w:w="160" w:type="dxa"/>
            </w:tcMar>
            <w:vAlign w:val="center"/>
          </w:tcPr>
          <w:p w14:paraId="04E694BC" w14:textId="77777777" w:rsidR="001B54B8" w:rsidRDefault="001B54B8" w:rsidP="7E517DCC">
            <w:pPr>
              <w:spacing w:before="40" w:after="40"/>
              <w:jc w:val="center"/>
            </w:pPr>
            <w:r>
              <w:t>15 Hours</w:t>
            </w:r>
            <w:r>
              <w:br/>
              <w:t>10 Days</w:t>
            </w:r>
          </w:p>
        </w:tc>
        <w:tc>
          <w:tcPr>
            <w:tcW w:w="734" w:type="pct"/>
            <w:shd w:val="clear" w:color="auto" w:fill="FFFFFF" w:themeFill="background1"/>
            <w:tcMar>
              <w:top w:w="100" w:type="dxa"/>
              <w:left w:w="160" w:type="dxa"/>
              <w:bottom w:w="100" w:type="dxa"/>
              <w:right w:w="160" w:type="dxa"/>
            </w:tcMar>
            <w:vAlign w:val="center"/>
          </w:tcPr>
          <w:p w14:paraId="1CE4AC2B" w14:textId="77777777" w:rsidR="001B54B8" w:rsidRDefault="001B54B8" w:rsidP="7E517DCC">
            <w:pPr>
              <w:spacing w:before="40" w:after="40"/>
              <w:jc w:val="center"/>
            </w:pPr>
            <w:r>
              <w:t>15.5 Hours</w:t>
            </w:r>
            <w:r>
              <w:br/>
              <w:t>10 Days</w:t>
            </w:r>
          </w:p>
        </w:tc>
        <w:tc>
          <w:tcPr>
            <w:tcW w:w="901" w:type="pct"/>
            <w:shd w:val="clear" w:color="auto" w:fill="FFFFFF" w:themeFill="background1"/>
            <w:tcMar>
              <w:top w:w="100" w:type="dxa"/>
              <w:left w:w="160" w:type="dxa"/>
              <w:bottom w:w="100" w:type="dxa"/>
              <w:right w:w="160" w:type="dxa"/>
            </w:tcMar>
            <w:vAlign w:val="center"/>
          </w:tcPr>
          <w:p w14:paraId="0BADA61F" w14:textId="77777777" w:rsidR="001B54B8" w:rsidRDefault="001B54B8" w:rsidP="7E517DCC">
            <w:pPr>
              <w:spacing w:before="40" w:after="40"/>
              <w:jc w:val="center"/>
            </w:pPr>
            <w:r>
              <w:t>12 Hours</w:t>
            </w:r>
            <w:r>
              <w:br/>
              <w:t>8 Days</w:t>
            </w:r>
          </w:p>
        </w:tc>
        <w:tc>
          <w:tcPr>
            <w:tcW w:w="844" w:type="pct"/>
            <w:shd w:val="clear" w:color="auto" w:fill="FFFFFF" w:themeFill="background1"/>
            <w:tcMar>
              <w:top w:w="100" w:type="dxa"/>
              <w:left w:w="160" w:type="dxa"/>
              <w:bottom w:w="100" w:type="dxa"/>
              <w:right w:w="160" w:type="dxa"/>
            </w:tcMar>
            <w:vAlign w:val="center"/>
          </w:tcPr>
          <w:p w14:paraId="1FCAA517" w14:textId="77777777" w:rsidR="001B54B8" w:rsidRDefault="001B54B8" w:rsidP="7E517DCC">
            <w:pPr>
              <w:spacing w:before="40" w:after="40"/>
              <w:jc w:val="center"/>
            </w:pPr>
            <w:r>
              <w:t>12 Hours</w:t>
            </w:r>
            <w:r>
              <w:br/>
              <w:t>8 Days</w:t>
            </w:r>
          </w:p>
        </w:tc>
        <w:tc>
          <w:tcPr>
            <w:tcW w:w="1249" w:type="pct"/>
            <w:shd w:val="clear" w:color="auto" w:fill="FFFFFF" w:themeFill="background1"/>
            <w:tcMar>
              <w:top w:w="100" w:type="dxa"/>
              <w:left w:w="160" w:type="dxa"/>
              <w:bottom w:w="100" w:type="dxa"/>
              <w:right w:w="160" w:type="dxa"/>
            </w:tcMar>
            <w:vAlign w:val="center"/>
          </w:tcPr>
          <w:p w14:paraId="3C2C352D" w14:textId="77777777" w:rsidR="001B54B8" w:rsidRDefault="001B54B8" w:rsidP="7E517DCC">
            <w:pPr>
              <w:spacing w:before="40" w:after="40"/>
              <w:jc w:val="center"/>
            </w:pPr>
            <w:r>
              <w:t>7.5 Hours</w:t>
            </w:r>
            <w:r>
              <w:br/>
              <w:t>5 Days</w:t>
            </w:r>
          </w:p>
        </w:tc>
      </w:tr>
      <w:tr w:rsidR="001B54B8" w14:paraId="3F0D6481" w14:textId="71004F21" w:rsidTr="001B54B8">
        <w:trPr>
          <w:cantSplit/>
          <w:tblHeader/>
        </w:trPr>
        <w:tc>
          <w:tcPr>
            <w:tcW w:w="538" w:type="pct"/>
            <w:shd w:val="clear" w:color="auto" w:fill="EBF4F8"/>
            <w:tcMar>
              <w:top w:w="100" w:type="dxa"/>
              <w:left w:w="160" w:type="dxa"/>
              <w:bottom w:w="100" w:type="dxa"/>
              <w:right w:w="160" w:type="dxa"/>
            </w:tcMar>
          </w:tcPr>
          <w:p w14:paraId="489E40D5" w14:textId="5D87D03D" w:rsidR="001B54B8" w:rsidRDefault="001B54B8">
            <w:pPr>
              <w:spacing w:before="40" w:after="40"/>
            </w:pPr>
            <w:r>
              <w:rPr>
                <w:b/>
                <w:bCs/>
                <w:color w:val="1F3864"/>
                <w:sz w:val="19"/>
                <w:szCs w:val="19"/>
              </w:rPr>
              <w:t>Standards</w:t>
            </w:r>
          </w:p>
        </w:tc>
        <w:tc>
          <w:tcPr>
            <w:tcW w:w="734" w:type="pct"/>
            <w:shd w:val="clear" w:color="auto" w:fill="FFFFFF" w:themeFill="background1"/>
            <w:tcMar>
              <w:top w:w="100" w:type="dxa"/>
              <w:left w:w="160" w:type="dxa"/>
              <w:bottom w:w="100" w:type="dxa"/>
              <w:right w:w="160" w:type="dxa"/>
            </w:tcMar>
            <w:vAlign w:val="center"/>
          </w:tcPr>
          <w:p w14:paraId="7A29F7E1" w14:textId="77777777" w:rsidR="001B54B8" w:rsidRDefault="001B54B8" w:rsidP="7E517DCC">
            <w:pPr>
              <w:spacing w:before="40" w:after="40"/>
              <w:jc w:val="center"/>
            </w:pPr>
            <w:r>
              <w:t>SSCG1, SSCG2, SSCG3, SSCG4, SSCG5, SSCG6, SSCG7.</w:t>
            </w:r>
            <w:r>
              <w:br/>
              <w:t>Map and Globe Skills: 4, 7, 10.</w:t>
            </w:r>
            <w:r>
              <w:br/>
              <w:t>Information Processing Skills: 1, 3, 5, 6, 10, 11, 12, 13, 16, 17.</w:t>
            </w:r>
          </w:p>
        </w:tc>
        <w:tc>
          <w:tcPr>
            <w:tcW w:w="734" w:type="pct"/>
            <w:shd w:val="clear" w:color="auto" w:fill="FFFFFF" w:themeFill="background1"/>
            <w:tcMar>
              <w:top w:w="100" w:type="dxa"/>
              <w:left w:w="160" w:type="dxa"/>
              <w:bottom w:w="100" w:type="dxa"/>
              <w:right w:w="160" w:type="dxa"/>
            </w:tcMar>
            <w:vAlign w:val="center"/>
          </w:tcPr>
          <w:p w14:paraId="37175E09" w14:textId="77777777" w:rsidR="001B54B8" w:rsidRDefault="001B54B8" w:rsidP="7E517DCC">
            <w:pPr>
              <w:spacing w:before="40" w:after="40"/>
              <w:jc w:val="center"/>
            </w:pPr>
            <w:r>
              <w:t>SSCG8, SSCG15.</w:t>
            </w:r>
            <w:r>
              <w:br/>
              <w:t>Map and Globe Skills: 4, 7, 8, 10.</w:t>
            </w:r>
            <w:r>
              <w:br/>
              <w:t>Information Processing Skills: 1, 2, 3, 4, 5, 6, 7, 8, 9, 11, 12, 14, 15, 17.</w:t>
            </w:r>
          </w:p>
        </w:tc>
        <w:tc>
          <w:tcPr>
            <w:tcW w:w="901" w:type="pct"/>
            <w:shd w:val="clear" w:color="auto" w:fill="FFFFFF" w:themeFill="background1"/>
            <w:tcMar>
              <w:top w:w="100" w:type="dxa"/>
              <w:left w:w="160" w:type="dxa"/>
              <w:bottom w:w="100" w:type="dxa"/>
              <w:right w:w="160" w:type="dxa"/>
            </w:tcMar>
            <w:vAlign w:val="center"/>
          </w:tcPr>
          <w:p w14:paraId="167F5D4F" w14:textId="77777777" w:rsidR="001B54B8" w:rsidRDefault="001B54B8" w:rsidP="7E517DCC">
            <w:pPr>
              <w:spacing w:before="40" w:after="40"/>
              <w:jc w:val="center"/>
            </w:pPr>
            <w:r>
              <w:t>SSCG9, SSCG10, SSCG11, SSCG12.</w:t>
            </w:r>
            <w:r>
              <w:br/>
              <w:t>Map and Globe Skills: 4, 7, 8, 10, 12.</w:t>
            </w:r>
            <w:r>
              <w:br/>
              <w:t>Information Processing Skills: 1, 3, 4, 5, 6, 7, 11, 12, 17.</w:t>
            </w:r>
          </w:p>
        </w:tc>
        <w:tc>
          <w:tcPr>
            <w:tcW w:w="844" w:type="pct"/>
            <w:shd w:val="clear" w:color="auto" w:fill="FFFFFF" w:themeFill="background1"/>
            <w:tcMar>
              <w:top w:w="100" w:type="dxa"/>
              <w:left w:w="160" w:type="dxa"/>
              <w:bottom w:w="100" w:type="dxa"/>
              <w:right w:w="160" w:type="dxa"/>
            </w:tcMar>
            <w:vAlign w:val="center"/>
          </w:tcPr>
          <w:p w14:paraId="2F2B519A" w14:textId="77777777" w:rsidR="001B54B8" w:rsidRDefault="001B54B8" w:rsidP="7E517DCC">
            <w:pPr>
              <w:spacing w:before="40" w:after="40"/>
              <w:jc w:val="center"/>
            </w:pPr>
            <w:r>
              <w:t>SSCG7, SSCG13, SSCG14, SSCG16.</w:t>
            </w:r>
            <w:r>
              <w:br/>
              <w:t>Map and Globe Skills: 3, 4, 5, 6, 7, 8, 10, 11.</w:t>
            </w:r>
            <w:r>
              <w:br/>
              <w:t>Information Processing Skills: 5, 6, 8, 11, 12, 15, 17.</w:t>
            </w:r>
          </w:p>
        </w:tc>
        <w:tc>
          <w:tcPr>
            <w:tcW w:w="1249" w:type="pct"/>
            <w:shd w:val="clear" w:color="auto" w:fill="FFFFFF" w:themeFill="background1"/>
            <w:tcMar>
              <w:top w:w="100" w:type="dxa"/>
              <w:left w:w="160" w:type="dxa"/>
              <w:bottom w:w="100" w:type="dxa"/>
              <w:right w:w="160" w:type="dxa"/>
            </w:tcMar>
            <w:vAlign w:val="center"/>
          </w:tcPr>
          <w:p w14:paraId="2BE659BD" w14:textId="77777777" w:rsidR="001B54B8" w:rsidRDefault="001B54B8" w:rsidP="7E517DCC">
            <w:pPr>
              <w:spacing w:before="40" w:after="40"/>
              <w:jc w:val="center"/>
            </w:pPr>
            <w:r>
              <w:t>SSCG17, SSCG1–17.</w:t>
            </w:r>
            <w:r>
              <w:br/>
              <w:t>Map and Globe Skills: 1, 2, 4, 6, 7, 8, 10, 11.</w:t>
            </w:r>
            <w:r>
              <w:br/>
              <w:t>Information Processing Skills: 1, 3, 4, 5, 6, 11, 12, 15, 16.</w:t>
            </w:r>
          </w:p>
        </w:tc>
      </w:tr>
      <w:tr w:rsidR="001B54B8" w14:paraId="4E8A7768" w14:textId="7D66EDF1" w:rsidTr="001B54B8">
        <w:trPr>
          <w:cantSplit/>
          <w:tblHeader/>
        </w:trPr>
        <w:tc>
          <w:tcPr>
            <w:tcW w:w="538" w:type="pct"/>
            <w:shd w:val="clear" w:color="auto" w:fill="EBF4F8"/>
            <w:tcMar>
              <w:top w:w="100" w:type="dxa"/>
              <w:left w:w="160" w:type="dxa"/>
              <w:bottom w:w="100" w:type="dxa"/>
              <w:right w:w="160" w:type="dxa"/>
            </w:tcMar>
          </w:tcPr>
          <w:p w14:paraId="12D13172" w14:textId="77777777" w:rsidR="001B54B8" w:rsidRDefault="001B54B8" w:rsidP="00CE3236">
            <w:pPr>
              <w:spacing w:before="40" w:after="40"/>
              <w:rPr>
                <w:b/>
                <w:bCs/>
                <w:color w:val="1F3864"/>
                <w:sz w:val="19"/>
                <w:szCs w:val="19"/>
              </w:rPr>
            </w:pPr>
            <w:r>
              <w:rPr>
                <w:b/>
                <w:bCs/>
                <w:color w:val="1F3864"/>
                <w:sz w:val="19"/>
                <w:szCs w:val="19"/>
              </w:rPr>
              <w:lastRenderedPageBreak/>
              <w:t>Approaches to Learning (ATL)</w:t>
            </w:r>
          </w:p>
        </w:tc>
        <w:tc>
          <w:tcPr>
            <w:tcW w:w="734" w:type="pct"/>
            <w:shd w:val="clear" w:color="auto" w:fill="FFFFFF" w:themeFill="background1"/>
            <w:tcMar>
              <w:top w:w="100" w:type="dxa"/>
              <w:left w:w="160" w:type="dxa"/>
              <w:bottom w:w="100" w:type="dxa"/>
              <w:right w:w="160" w:type="dxa"/>
            </w:tcMar>
            <w:vAlign w:val="center"/>
          </w:tcPr>
          <w:p w14:paraId="7E62A792" w14:textId="77777777" w:rsidR="001B54B8" w:rsidRDefault="001B54B8" w:rsidP="7E517DCC">
            <w:pPr>
              <w:spacing w:before="40" w:after="40"/>
              <w:jc w:val="center"/>
            </w:pPr>
            <w:r>
              <w:t>Category: Communication. Cluster: Communication. Skill Indicator: Students will negotiate ideas and knowledge with peers and teachers while listening actively to others’ perspectives to create a governmental system for Stranded Island.</w:t>
            </w:r>
            <w:r>
              <w:br/>
            </w:r>
            <w:r>
              <w:br/>
              <w:t>Category: Thinking Skills. Cluster: Transfer. Skill Indicator: Students will combine knowledge, understanding, and skills to create products or solutions for Stranded Island.</w:t>
            </w:r>
          </w:p>
        </w:tc>
        <w:tc>
          <w:tcPr>
            <w:tcW w:w="734" w:type="pct"/>
            <w:shd w:val="clear" w:color="auto" w:fill="FFFFFF" w:themeFill="background1"/>
            <w:tcMar>
              <w:top w:w="100" w:type="dxa"/>
              <w:left w:w="160" w:type="dxa"/>
              <w:bottom w:w="100" w:type="dxa"/>
              <w:right w:w="160" w:type="dxa"/>
            </w:tcMar>
            <w:vAlign w:val="center"/>
          </w:tcPr>
          <w:p w14:paraId="29C37EFB" w14:textId="77777777" w:rsidR="001B54B8" w:rsidRDefault="001B54B8" w:rsidP="7E517DCC">
            <w:pPr>
              <w:spacing w:before="40" w:after="40"/>
              <w:jc w:val="center"/>
            </w:pPr>
            <w:r>
              <w:t>Category: Communication. Cluster: Communicating. Skill Indicator: Students will exchange thoughts, messages, and information by examining the system of state elections.</w:t>
            </w:r>
            <w:r>
              <w:br/>
            </w:r>
            <w:r>
              <w:br/>
              <w:t>Category: Thinking Skills. Cluster: Critical Thinking. Skill Indicator: Students must analyze and evaluate ideas and issues to understand the processes of state elections.</w:t>
            </w:r>
          </w:p>
        </w:tc>
        <w:tc>
          <w:tcPr>
            <w:tcW w:w="901" w:type="pct"/>
            <w:shd w:val="clear" w:color="auto" w:fill="FFFFFF" w:themeFill="background1"/>
            <w:tcMar>
              <w:top w:w="100" w:type="dxa"/>
              <w:left w:w="160" w:type="dxa"/>
              <w:bottom w:w="100" w:type="dxa"/>
              <w:right w:w="160" w:type="dxa"/>
            </w:tcMar>
            <w:vAlign w:val="center"/>
          </w:tcPr>
          <w:p w14:paraId="4BEB2F3C" w14:textId="77777777" w:rsidR="001B54B8" w:rsidRDefault="001B54B8" w:rsidP="7E517DCC">
            <w:pPr>
              <w:spacing w:before="40" w:after="40"/>
              <w:jc w:val="center"/>
            </w:pPr>
            <w:r>
              <w:t>Category: Research. Cluster: Media Literacy. Skill Indicator: Students will focus on their research – Media literacy: locate, organize, analyze, evaluate, synthesize, and ethically use information from a variety of sources and media (including digital social media and online networks) through the MYP summative assessment. Further, students will focus on research Information literacy by evaluating and selecting information sources and digital tools based on their appropriateness to specific tasks.</w:t>
            </w:r>
            <w:r>
              <w:br/>
            </w:r>
            <w:r>
              <w:br/>
              <w:t>Category: Critical Thinking. Cluster: Critical Thinking. Skill Indicator: Throughout the unit, there is intentional practice individually, with elbow partners, and in small group discussion to increase thinking. Critical thinking occurs throughout the unit by having students analyze complex concepts and projects into their constituent parts and synthesize them to create new understandings.</w:t>
            </w:r>
          </w:p>
        </w:tc>
        <w:tc>
          <w:tcPr>
            <w:tcW w:w="844" w:type="pct"/>
            <w:shd w:val="clear" w:color="auto" w:fill="FFFFFF" w:themeFill="background1"/>
            <w:tcMar>
              <w:top w:w="100" w:type="dxa"/>
              <w:left w:w="160" w:type="dxa"/>
              <w:bottom w:w="100" w:type="dxa"/>
              <w:right w:w="160" w:type="dxa"/>
            </w:tcMar>
            <w:vAlign w:val="center"/>
          </w:tcPr>
          <w:p w14:paraId="187FF8A6" w14:textId="77777777" w:rsidR="001B54B8" w:rsidRDefault="001B54B8" w:rsidP="7E517DCC">
            <w:pPr>
              <w:spacing w:before="40" w:after="40"/>
              <w:jc w:val="center"/>
            </w:pPr>
            <w:r>
              <w:t>Category: Critical Thinking. Cluster: Critical Thinking. Skill Indicator: Throughout the unit, there is intentional practice individually, with elbow partners, and in small group discussion to increase thinking. Critical thinking occurs throughout the unit by having students analyze complex concepts/court cases to help better understand the judicial process and its future impact.</w:t>
            </w:r>
          </w:p>
        </w:tc>
        <w:tc>
          <w:tcPr>
            <w:tcW w:w="1249" w:type="pct"/>
            <w:shd w:val="clear" w:color="auto" w:fill="FFFFFF" w:themeFill="background1"/>
            <w:tcMar>
              <w:top w:w="100" w:type="dxa"/>
              <w:left w:w="160" w:type="dxa"/>
              <w:bottom w:w="100" w:type="dxa"/>
              <w:right w:w="160" w:type="dxa"/>
            </w:tcMar>
            <w:vAlign w:val="center"/>
          </w:tcPr>
          <w:p w14:paraId="0072C8B5" w14:textId="77777777" w:rsidR="001B54B8" w:rsidRDefault="001B54B8" w:rsidP="7E517DCC">
            <w:pPr>
              <w:spacing w:before="40" w:after="40"/>
              <w:jc w:val="center"/>
            </w:pPr>
            <w:r>
              <w:t>Category: Critical Thinking. Cluster: Critical Thinking. Skill Indicator: Throughout the unit, there is intentional practice individually, with elbow partners, and in small group discussion to increase thinking. Critical thinking occurs throughout the unit by having students analyze complex concepts/court cases to help better understand the judicial process and its future impact.</w:t>
            </w:r>
          </w:p>
        </w:tc>
      </w:tr>
      <w:tr w:rsidR="001B54B8" w14:paraId="53626661" w14:textId="0DB92909" w:rsidTr="001B54B8">
        <w:trPr>
          <w:cantSplit/>
          <w:tblHeader/>
        </w:trPr>
        <w:tc>
          <w:tcPr>
            <w:tcW w:w="538" w:type="pct"/>
            <w:shd w:val="clear" w:color="auto" w:fill="EBF4F8"/>
            <w:tcMar>
              <w:top w:w="100" w:type="dxa"/>
              <w:left w:w="160" w:type="dxa"/>
              <w:bottom w:w="100" w:type="dxa"/>
              <w:right w:w="160" w:type="dxa"/>
            </w:tcMar>
          </w:tcPr>
          <w:p w14:paraId="53452579" w14:textId="76D1DAE7" w:rsidR="001B54B8" w:rsidRDefault="001B54B8">
            <w:pPr>
              <w:spacing w:before="40" w:after="40"/>
              <w:rPr>
                <w:b/>
                <w:bCs/>
                <w:color w:val="1F3864"/>
                <w:sz w:val="19"/>
                <w:szCs w:val="19"/>
              </w:rPr>
            </w:pPr>
            <w:r>
              <w:rPr>
                <w:b/>
                <w:bCs/>
                <w:color w:val="1F3864"/>
                <w:sz w:val="19"/>
                <w:szCs w:val="19"/>
              </w:rPr>
              <w:lastRenderedPageBreak/>
              <w:t>Statement of Inquiry</w:t>
            </w:r>
          </w:p>
        </w:tc>
        <w:tc>
          <w:tcPr>
            <w:tcW w:w="734" w:type="pct"/>
            <w:shd w:val="clear" w:color="auto" w:fill="FFFFFF" w:themeFill="background1"/>
            <w:tcMar>
              <w:top w:w="100" w:type="dxa"/>
              <w:left w:w="160" w:type="dxa"/>
              <w:bottom w:w="100" w:type="dxa"/>
              <w:right w:w="160" w:type="dxa"/>
            </w:tcMar>
            <w:vAlign w:val="center"/>
          </w:tcPr>
          <w:p w14:paraId="1EBB72CB" w14:textId="77777777" w:rsidR="001B54B8" w:rsidRDefault="001B54B8" w:rsidP="7E517DCC">
            <w:pPr>
              <w:spacing w:before="40" w:after="40"/>
              <w:jc w:val="center"/>
              <w:rPr>
                <w:b/>
                <w:bCs/>
                <w:color w:val="1F3864"/>
              </w:rPr>
            </w:pPr>
            <w:r>
              <w:t>As a society increases in complexity and interacts with other societies, the complexity of government also increases.</w:t>
            </w:r>
          </w:p>
        </w:tc>
        <w:tc>
          <w:tcPr>
            <w:tcW w:w="734" w:type="pct"/>
            <w:shd w:val="clear" w:color="auto" w:fill="FFFFFF" w:themeFill="background1"/>
            <w:tcMar>
              <w:top w:w="100" w:type="dxa"/>
              <w:left w:w="160" w:type="dxa"/>
              <w:bottom w:w="100" w:type="dxa"/>
              <w:right w:w="160" w:type="dxa"/>
            </w:tcMar>
            <w:vAlign w:val="center"/>
          </w:tcPr>
          <w:p w14:paraId="182F9570" w14:textId="77777777" w:rsidR="001B54B8" w:rsidRDefault="001B54B8" w:rsidP="7E517DCC">
            <w:pPr>
              <w:spacing w:before="40" w:after="40"/>
              <w:jc w:val="center"/>
              <w:rPr>
                <w:b/>
                <w:bCs/>
                <w:color w:val="1F3864"/>
              </w:rPr>
            </w:pPr>
            <w:r>
              <w:t>While change occurs over time, there is continuity to the basic structure of that society.</w:t>
            </w:r>
          </w:p>
        </w:tc>
        <w:tc>
          <w:tcPr>
            <w:tcW w:w="901" w:type="pct"/>
            <w:shd w:val="clear" w:color="auto" w:fill="FFFFFF" w:themeFill="background1"/>
            <w:tcMar>
              <w:top w:w="100" w:type="dxa"/>
              <w:left w:w="160" w:type="dxa"/>
              <w:bottom w:w="100" w:type="dxa"/>
              <w:right w:w="160" w:type="dxa"/>
            </w:tcMar>
            <w:vAlign w:val="center"/>
          </w:tcPr>
          <w:p w14:paraId="7484AC4C" w14:textId="77777777" w:rsidR="001B54B8" w:rsidRDefault="001B54B8" w:rsidP="7E517DCC">
            <w:pPr>
              <w:spacing w:before="40" w:after="40"/>
              <w:jc w:val="center"/>
              <w:rPr>
                <w:b/>
                <w:bCs/>
                <w:color w:val="1F3864"/>
              </w:rPr>
            </w:pPr>
            <w:r>
              <w:t>Actions of individuals, groups, and/or institutions affect society through intended and unintended consequences.</w:t>
            </w:r>
          </w:p>
        </w:tc>
        <w:tc>
          <w:tcPr>
            <w:tcW w:w="844" w:type="pct"/>
            <w:shd w:val="clear" w:color="auto" w:fill="FFFFFF" w:themeFill="background1"/>
            <w:tcMar>
              <w:top w:w="100" w:type="dxa"/>
              <w:left w:w="160" w:type="dxa"/>
              <w:bottom w:w="100" w:type="dxa"/>
              <w:right w:w="160" w:type="dxa"/>
            </w:tcMar>
            <w:vAlign w:val="center"/>
          </w:tcPr>
          <w:p w14:paraId="20D2CBCF" w14:textId="77777777" w:rsidR="001B54B8" w:rsidRDefault="001B54B8" w:rsidP="7E517DCC">
            <w:pPr>
              <w:spacing w:before="40" w:after="40"/>
              <w:jc w:val="center"/>
              <w:rPr>
                <w:b/>
                <w:bCs/>
                <w:color w:val="1F3864"/>
              </w:rPr>
            </w:pPr>
            <w:r>
              <w:t>The distribution of power in government is a product of existing laws and documents combined with contemporary values and beliefs.</w:t>
            </w:r>
          </w:p>
        </w:tc>
        <w:tc>
          <w:tcPr>
            <w:tcW w:w="1249" w:type="pct"/>
            <w:shd w:val="clear" w:color="auto" w:fill="FFFFFF" w:themeFill="background1"/>
            <w:tcMar>
              <w:top w:w="100" w:type="dxa"/>
              <w:left w:w="160" w:type="dxa"/>
              <w:bottom w:w="100" w:type="dxa"/>
              <w:right w:w="160" w:type="dxa"/>
            </w:tcMar>
            <w:vAlign w:val="center"/>
          </w:tcPr>
          <w:p w14:paraId="51E182C3" w14:textId="77777777" w:rsidR="001B54B8" w:rsidRDefault="001B54B8" w:rsidP="7E517DCC">
            <w:pPr>
              <w:spacing w:before="40" w:after="40"/>
              <w:jc w:val="center"/>
              <w:rPr>
                <w:b/>
                <w:bCs/>
                <w:color w:val="1F3864"/>
              </w:rPr>
            </w:pPr>
            <w:r>
              <w:t>In a democracy, rule of law establishes local and state government procedures for making policies.</w:t>
            </w:r>
          </w:p>
        </w:tc>
      </w:tr>
      <w:tr w:rsidR="001B54B8" w14:paraId="3B34D4CF" w14:textId="181362A5" w:rsidTr="001B54B8">
        <w:trPr>
          <w:cantSplit/>
          <w:tblHeader/>
        </w:trPr>
        <w:tc>
          <w:tcPr>
            <w:tcW w:w="538" w:type="pct"/>
            <w:shd w:val="clear" w:color="auto" w:fill="EBF4F8"/>
            <w:tcMar>
              <w:top w:w="100" w:type="dxa"/>
              <w:left w:w="160" w:type="dxa"/>
              <w:bottom w:w="100" w:type="dxa"/>
              <w:right w:w="160" w:type="dxa"/>
            </w:tcMar>
          </w:tcPr>
          <w:p w14:paraId="2FE0782F" w14:textId="7C8A3DD1" w:rsidR="001B54B8" w:rsidRDefault="001B54B8">
            <w:pPr>
              <w:spacing w:before="40" w:after="40"/>
              <w:rPr>
                <w:b/>
                <w:bCs/>
                <w:color w:val="1F3864"/>
                <w:sz w:val="19"/>
                <w:szCs w:val="19"/>
              </w:rPr>
            </w:pPr>
            <w:r>
              <w:rPr>
                <w:b/>
                <w:bCs/>
                <w:color w:val="1F3864"/>
                <w:sz w:val="19"/>
                <w:szCs w:val="19"/>
              </w:rPr>
              <w:t>Global Context</w:t>
            </w:r>
          </w:p>
        </w:tc>
        <w:tc>
          <w:tcPr>
            <w:tcW w:w="734" w:type="pct"/>
            <w:shd w:val="clear" w:color="auto" w:fill="FFFFFF" w:themeFill="background1"/>
            <w:tcMar>
              <w:top w:w="100" w:type="dxa"/>
              <w:left w:w="160" w:type="dxa"/>
              <w:bottom w:w="100" w:type="dxa"/>
              <w:right w:w="160" w:type="dxa"/>
            </w:tcMar>
            <w:vAlign w:val="center"/>
          </w:tcPr>
          <w:p w14:paraId="516F7592" w14:textId="77777777" w:rsidR="001B54B8" w:rsidRDefault="001B54B8" w:rsidP="7E517DCC">
            <w:pPr>
              <w:spacing w:before="40" w:after="40"/>
              <w:jc w:val="center"/>
              <w:rPr>
                <w:b/>
                <w:bCs/>
                <w:color w:val="1F3864"/>
              </w:rPr>
            </w:pPr>
            <w:r>
              <w:t>Fairness and Development: Students will explore rights and responsibilities; the relationship between communities; sharing finite resources with other people and with other living things; access to equal opportunities; peace and conflict resolution.</w:t>
            </w:r>
          </w:p>
        </w:tc>
        <w:tc>
          <w:tcPr>
            <w:tcW w:w="734" w:type="pct"/>
            <w:shd w:val="clear" w:color="auto" w:fill="FFFFFF" w:themeFill="background1"/>
            <w:tcMar>
              <w:top w:w="100" w:type="dxa"/>
              <w:left w:w="160" w:type="dxa"/>
              <w:bottom w:w="100" w:type="dxa"/>
              <w:right w:w="160" w:type="dxa"/>
            </w:tcMar>
            <w:vAlign w:val="center"/>
          </w:tcPr>
          <w:p w14:paraId="3BFE3B5B" w14:textId="77777777" w:rsidR="001B54B8" w:rsidRDefault="001B54B8" w:rsidP="7E517DCC">
            <w:pPr>
              <w:spacing w:before="40" w:after="40"/>
              <w:jc w:val="center"/>
              <w:rPr>
                <w:b/>
                <w:bCs/>
                <w:color w:val="1F3864"/>
              </w:rPr>
            </w:pPr>
            <w:r>
              <w:t>Identities and Relationships: Students will explore identity; beliefs and values; human relationships including communities and cultures; what it means to be human.</w:t>
            </w:r>
          </w:p>
        </w:tc>
        <w:tc>
          <w:tcPr>
            <w:tcW w:w="901" w:type="pct"/>
            <w:shd w:val="clear" w:color="auto" w:fill="FFFFFF" w:themeFill="background1"/>
            <w:tcMar>
              <w:top w:w="100" w:type="dxa"/>
              <w:left w:w="160" w:type="dxa"/>
              <w:bottom w:w="100" w:type="dxa"/>
              <w:right w:w="160" w:type="dxa"/>
            </w:tcMar>
            <w:vAlign w:val="center"/>
          </w:tcPr>
          <w:p w14:paraId="2337D951" w14:textId="77777777" w:rsidR="001B54B8" w:rsidRDefault="001B54B8" w:rsidP="7E517DCC">
            <w:pPr>
              <w:spacing w:before="40" w:after="40"/>
              <w:jc w:val="center"/>
              <w:rPr>
                <w:b/>
                <w:bCs/>
                <w:color w:val="1F3864"/>
              </w:rPr>
            </w:pPr>
            <w:r>
              <w:t>Identities and Relationships: Students will explore identity; beliefs and values; human relationships including communities and cultures; what it means to be human.</w:t>
            </w:r>
          </w:p>
        </w:tc>
        <w:tc>
          <w:tcPr>
            <w:tcW w:w="844" w:type="pct"/>
            <w:shd w:val="clear" w:color="auto" w:fill="FFFFFF" w:themeFill="background1"/>
            <w:tcMar>
              <w:top w:w="100" w:type="dxa"/>
              <w:left w:w="160" w:type="dxa"/>
              <w:bottom w:w="100" w:type="dxa"/>
              <w:right w:w="160" w:type="dxa"/>
            </w:tcMar>
            <w:vAlign w:val="center"/>
          </w:tcPr>
          <w:p w14:paraId="3098C84D" w14:textId="77777777" w:rsidR="001B54B8" w:rsidRDefault="001B54B8" w:rsidP="7E517DCC">
            <w:pPr>
              <w:spacing w:before="40" w:after="40"/>
              <w:jc w:val="center"/>
              <w:rPr>
                <w:b/>
                <w:bCs/>
                <w:color w:val="1F3864"/>
              </w:rPr>
            </w:pPr>
            <w:r>
              <w:t>Identities and Relationships: Students will explore identity; beliefs and values; human relationships including communities and cultures; what it means to be human.</w:t>
            </w:r>
          </w:p>
        </w:tc>
        <w:tc>
          <w:tcPr>
            <w:tcW w:w="1249" w:type="pct"/>
            <w:shd w:val="clear" w:color="auto" w:fill="FFFFFF" w:themeFill="background1"/>
            <w:tcMar>
              <w:top w:w="100" w:type="dxa"/>
              <w:left w:w="160" w:type="dxa"/>
              <w:bottom w:w="100" w:type="dxa"/>
              <w:right w:w="160" w:type="dxa"/>
            </w:tcMar>
            <w:vAlign w:val="center"/>
          </w:tcPr>
          <w:p w14:paraId="7048FD93" w14:textId="77777777" w:rsidR="001B54B8" w:rsidRDefault="001B54B8" w:rsidP="7E517DCC">
            <w:pPr>
              <w:spacing w:before="40" w:after="40"/>
              <w:jc w:val="center"/>
              <w:rPr>
                <w:b/>
                <w:bCs/>
                <w:color w:val="1F3864"/>
              </w:rPr>
            </w:pPr>
            <w:r>
              <w:t>Identities and Relationships: Students will explore identity; beliefs and values; human relationships including communities and cultures; what it means to be human.</w:t>
            </w:r>
          </w:p>
        </w:tc>
      </w:tr>
      <w:tr w:rsidR="001B54B8" w14:paraId="505CB0F5" w14:textId="5BB19751" w:rsidTr="001B54B8">
        <w:trPr>
          <w:cantSplit/>
          <w:tblHeader/>
        </w:trPr>
        <w:tc>
          <w:tcPr>
            <w:tcW w:w="538" w:type="pct"/>
            <w:shd w:val="clear" w:color="auto" w:fill="EBF4F8"/>
            <w:tcMar>
              <w:top w:w="100" w:type="dxa"/>
              <w:left w:w="160" w:type="dxa"/>
              <w:bottom w:w="100" w:type="dxa"/>
              <w:right w:w="160" w:type="dxa"/>
            </w:tcMar>
          </w:tcPr>
          <w:p w14:paraId="2FDFB913" w14:textId="4BAF8E3C" w:rsidR="001B54B8" w:rsidRDefault="001B54B8">
            <w:pPr>
              <w:spacing w:before="40" w:after="40"/>
              <w:rPr>
                <w:b/>
                <w:bCs/>
                <w:color w:val="1F3864"/>
                <w:sz w:val="19"/>
                <w:szCs w:val="19"/>
              </w:rPr>
            </w:pPr>
            <w:r>
              <w:rPr>
                <w:b/>
                <w:bCs/>
                <w:color w:val="1F3864"/>
                <w:sz w:val="19"/>
                <w:szCs w:val="19"/>
              </w:rPr>
              <w:lastRenderedPageBreak/>
              <w:t>Key Concepts</w:t>
            </w:r>
          </w:p>
        </w:tc>
        <w:tc>
          <w:tcPr>
            <w:tcW w:w="734" w:type="pct"/>
            <w:shd w:val="clear" w:color="auto" w:fill="FFFFFF" w:themeFill="background1"/>
            <w:tcMar>
              <w:top w:w="100" w:type="dxa"/>
              <w:left w:w="160" w:type="dxa"/>
              <w:bottom w:w="100" w:type="dxa"/>
              <w:right w:w="160" w:type="dxa"/>
            </w:tcMar>
            <w:vAlign w:val="center"/>
          </w:tcPr>
          <w:p w14:paraId="34CBDAC8" w14:textId="77777777" w:rsidR="001B54B8" w:rsidRDefault="001B54B8" w:rsidP="7E517DCC">
            <w:pPr>
              <w:spacing w:before="40" w:after="40"/>
              <w:jc w:val="center"/>
              <w:rPr>
                <w:b/>
                <w:bCs/>
                <w:color w:val="1F3864"/>
              </w:rPr>
            </w:pPr>
            <w:r>
              <w:t>Systems are sets of interacting or interdependent components. Systems provide structure and order in human, natural, and built environments. Systems can be static, dynamic, simple, or complex.</w:t>
            </w:r>
          </w:p>
        </w:tc>
        <w:tc>
          <w:tcPr>
            <w:tcW w:w="734" w:type="pct"/>
            <w:shd w:val="clear" w:color="auto" w:fill="FFFFFF" w:themeFill="background1"/>
            <w:tcMar>
              <w:top w:w="100" w:type="dxa"/>
              <w:left w:w="160" w:type="dxa"/>
              <w:bottom w:w="100" w:type="dxa"/>
              <w:right w:w="160" w:type="dxa"/>
            </w:tcMar>
            <w:vAlign w:val="center"/>
          </w:tcPr>
          <w:p w14:paraId="0B94EC12" w14:textId="77777777" w:rsidR="001B54B8" w:rsidRDefault="001B54B8" w:rsidP="7E517DCC">
            <w:pPr>
              <w:spacing w:before="40" w:after="40"/>
              <w:jc w:val="center"/>
              <w:rPr>
                <w:b/>
                <w:bCs/>
                <w:color w:val="1F3864"/>
              </w:rPr>
            </w:pPr>
            <w:r>
              <w:t>Relationships are the connections and associations between properties, objects, people, and ideas – including the human community’s connections with the world in which we live. Any change in relationship brings consequences – some of which may occur on a small scale, while others may be far-reaching.</w:t>
            </w:r>
          </w:p>
        </w:tc>
        <w:tc>
          <w:tcPr>
            <w:tcW w:w="901" w:type="pct"/>
            <w:shd w:val="clear" w:color="auto" w:fill="FFFFFF" w:themeFill="background1"/>
            <w:tcMar>
              <w:top w:w="100" w:type="dxa"/>
              <w:left w:w="160" w:type="dxa"/>
              <w:bottom w:w="100" w:type="dxa"/>
              <w:right w:w="160" w:type="dxa"/>
            </w:tcMar>
            <w:vAlign w:val="center"/>
          </w:tcPr>
          <w:p w14:paraId="6B3137F7" w14:textId="77777777" w:rsidR="001B54B8" w:rsidRDefault="001B54B8" w:rsidP="7E517DCC">
            <w:pPr>
              <w:spacing w:before="40" w:after="40"/>
              <w:jc w:val="center"/>
              <w:rPr>
                <w:b/>
                <w:bCs/>
                <w:color w:val="1F3864"/>
              </w:rPr>
            </w:pPr>
            <w:r>
              <w:t>Systems are sets of interacting or interdependent components. Systems provide structure and order in human, natural, and built environments. Systems can be static, dynamic, simple, or complex.</w:t>
            </w:r>
          </w:p>
        </w:tc>
        <w:tc>
          <w:tcPr>
            <w:tcW w:w="844" w:type="pct"/>
            <w:shd w:val="clear" w:color="auto" w:fill="FFFFFF" w:themeFill="background1"/>
            <w:tcMar>
              <w:top w:w="100" w:type="dxa"/>
              <w:left w:w="160" w:type="dxa"/>
              <w:bottom w:w="100" w:type="dxa"/>
              <w:right w:w="160" w:type="dxa"/>
            </w:tcMar>
            <w:vAlign w:val="center"/>
          </w:tcPr>
          <w:p w14:paraId="5A3CFF3B" w14:textId="77777777" w:rsidR="001B54B8" w:rsidRDefault="001B54B8" w:rsidP="7E517DCC">
            <w:pPr>
              <w:spacing w:before="40" w:after="40"/>
              <w:jc w:val="center"/>
              <w:rPr>
                <w:b/>
                <w:bCs/>
                <w:color w:val="1F3864"/>
              </w:rPr>
            </w:pPr>
            <w:r>
              <w:t>Change is a conversion, transformation, or movement from one form, state, or value to another. Inquiry into the concept of change involves understanding and evaluating causes, processes, and consequences.</w:t>
            </w:r>
          </w:p>
        </w:tc>
        <w:tc>
          <w:tcPr>
            <w:tcW w:w="1249" w:type="pct"/>
            <w:shd w:val="clear" w:color="auto" w:fill="FFFFFF" w:themeFill="background1"/>
            <w:tcMar>
              <w:top w:w="100" w:type="dxa"/>
              <w:left w:w="160" w:type="dxa"/>
              <w:bottom w:w="100" w:type="dxa"/>
              <w:right w:w="160" w:type="dxa"/>
            </w:tcMar>
            <w:vAlign w:val="center"/>
          </w:tcPr>
          <w:p w14:paraId="7118680D" w14:textId="77777777" w:rsidR="001B54B8" w:rsidRDefault="001B54B8" w:rsidP="7E517DCC">
            <w:pPr>
              <w:spacing w:before="40" w:after="40"/>
              <w:jc w:val="center"/>
              <w:rPr>
                <w:b/>
                <w:bCs/>
                <w:color w:val="1F3864"/>
              </w:rPr>
            </w:pPr>
            <w:r>
              <w:t>Relationships are the connections and associations between properties, objects, people, and ideas – including the human community’s connections with the world in which we live. Any change in relationship brings consequences – some of which may occur on a small scale, while others may be far-reaching, affecting large networks and systems such as human societies and the planetary ecosystem.</w:t>
            </w:r>
          </w:p>
        </w:tc>
      </w:tr>
      <w:tr w:rsidR="001B54B8" w14:paraId="01ACD1A8" w14:textId="6DA06EFE" w:rsidTr="001B54B8">
        <w:trPr>
          <w:cantSplit/>
          <w:tblHeader/>
        </w:trPr>
        <w:tc>
          <w:tcPr>
            <w:tcW w:w="538" w:type="pct"/>
            <w:shd w:val="clear" w:color="auto" w:fill="EBF4F8"/>
            <w:tcMar>
              <w:top w:w="100" w:type="dxa"/>
              <w:left w:w="160" w:type="dxa"/>
              <w:bottom w:w="100" w:type="dxa"/>
              <w:right w:w="160" w:type="dxa"/>
            </w:tcMar>
          </w:tcPr>
          <w:p w14:paraId="4A9B35D0" w14:textId="197558AA" w:rsidR="001B54B8" w:rsidRDefault="001B54B8">
            <w:pPr>
              <w:spacing w:before="40" w:after="40"/>
              <w:rPr>
                <w:b/>
                <w:bCs/>
                <w:color w:val="1F3864"/>
                <w:sz w:val="19"/>
                <w:szCs w:val="19"/>
              </w:rPr>
            </w:pPr>
            <w:r>
              <w:rPr>
                <w:b/>
                <w:bCs/>
                <w:color w:val="1F3864"/>
                <w:sz w:val="19"/>
                <w:szCs w:val="19"/>
              </w:rPr>
              <w:t>Related Concepts</w:t>
            </w:r>
          </w:p>
        </w:tc>
        <w:tc>
          <w:tcPr>
            <w:tcW w:w="734" w:type="pct"/>
            <w:shd w:val="clear" w:color="auto" w:fill="FFFFFF" w:themeFill="background1"/>
            <w:tcMar>
              <w:top w:w="100" w:type="dxa"/>
              <w:left w:w="160" w:type="dxa"/>
              <w:bottom w:w="100" w:type="dxa"/>
              <w:right w:w="160" w:type="dxa"/>
            </w:tcMar>
            <w:vAlign w:val="center"/>
          </w:tcPr>
          <w:p w14:paraId="3F6C4C79" w14:textId="77777777" w:rsidR="001B54B8" w:rsidRDefault="001B54B8" w:rsidP="7E517DCC">
            <w:pPr>
              <w:spacing w:before="40" w:after="40"/>
              <w:jc w:val="center"/>
              <w:rPr>
                <w:b/>
                <w:bCs/>
                <w:color w:val="1F3864"/>
              </w:rPr>
            </w:pPr>
            <w:r>
              <w:t>Power, Governance, Ideology.</w:t>
            </w:r>
          </w:p>
        </w:tc>
        <w:tc>
          <w:tcPr>
            <w:tcW w:w="734" w:type="pct"/>
            <w:shd w:val="clear" w:color="auto" w:fill="FFFFFF" w:themeFill="background1"/>
            <w:tcMar>
              <w:top w:w="100" w:type="dxa"/>
              <w:left w:w="160" w:type="dxa"/>
              <w:bottom w:w="100" w:type="dxa"/>
              <w:right w:w="160" w:type="dxa"/>
            </w:tcMar>
            <w:vAlign w:val="center"/>
          </w:tcPr>
          <w:p w14:paraId="38BE849D" w14:textId="77777777" w:rsidR="001B54B8" w:rsidRDefault="001B54B8" w:rsidP="7E517DCC">
            <w:pPr>
              <w:spacing w:before="40" w:after="40"/>
              <w:jc w:val="center"/>
              <w:rPr>
                <w:b/>
                <w:bCs/>
                <w:color w:val="1F3864"/>
              </w:rPr>
            </w:pPr>
            <w:r>
              <w:t>Power, Significance, Ideology.</w:t>
            </w:r>
          </w:p>
        </w:tc>
        <w:tc>
          <w:tcPr>
            <w:tcW w:w="901" w:type="pct"/>
            <w:shd w:val="clear" w:color="auto" w:fill="FFFFFF" w:themeFill="background1"/>
            <w:tcMar>
              <w:top w:w="100" w:type="dxa"/>
              <w:left w:w="160" w:type="dxa"/>
              <w:bottom w:w="100" w:type="dxa"/>
              <w:right w:w="160" w:type="dxa"/>
            </w:tcMar>
            <w:vAlign w:val="center"/>
          </w:tcPr>
          <w:p w14:paraId="7FF25FE3" w14:textId="77777777" w:rsidR="001B54B8" w:rsidRDefault="001B54B8" w:rsidP="7E517DCC">
            <w:pPr>
              <w:spacing w:before="40" w:after="40"/>
              <w:jc w:val="center"/>
              <w:rPr>
                <w:b/>
                <w:bCs/>
                <w:color w:val="1F3864"/>
              </w:rPr>
            </w:pPr>
            <w:r>
              <w:t>Power, Governance.</w:t>
            </w:r>
          </w:p>
        </w:tc>
        <w:tc>
          <w:tcPr>
            <w:tcW w:w="844" w:type="pct"/>
            <w:shd w:val="clear" w:color="auto" w:fill="FFFFFF" w:themeFill="background1"/>
            <w:tcMar>
              <w:top w:w="100" w:type="dxa"/>
              <w:left w:w="160" w:type="dxa"/>
              <w:bottom w:w="100" w:type="dxa"/>
              <w:right w:w="160" w:type="dxa"/>
            </w:tcMar>
            <w:vAlign w:val="center"/>
          </w:tcPr>
          <w:p w14:paraId="1055740A" w14:textId="77777777" w:rsidR="001B54B8" w:rsidRDefault="001B54B8" w:rsidP="7E517DCC">
            <w:pPr>
              <w:spacing w:before="40" w:after="40"/>
              <w:jc w:val="center"/>
              <w:rPr>
                <w:b/>
                <w:bCs/>
                <w:color w:val="1F3864"/>
              </w:rPr>
            </w:pPr>
            <w:r>
              <w:t>Culture, Significance, Ideology.</w:t>
            </w:r>
          </w:p>
        </w:tc>
        <w:tc>
          <w:tcPr>
            <w:tcW w:w="1249" w:type="pct"/>
            <w:shd w:val="clear" w:color="auto" w:fill="FFFFFF" w:themeFill="background1"/>
            <w:tcMar>
              <w:top w:w="100" w:type="dxa"/>
              <w:left w:w="160" w:type="dxa"/>
              <w:bottom w:w="100" w:type="dxa"/>
              <w:right w:w="160" w:type="dxa"/>
            </w:tcMar>
            <w:vAlign w:val="center"/>
          </w:tcPr>
          <w:p w14:paraId="39515EC1" w14:textId="2ACF85F1" w:rsidR="001B54B8" w:rsidRDefault="001B54B8" w:rsidP="7E517DCC">
            <w:pPr>
              <w:spacing w:before="40" w:after="40"/>
              <w:jc w:val="center"/>
              <w:rPr>
                <w:b/>
                <w:bCs/>
                <w:color w:val="1F3864"/>
              </w:rPr>
            </w:pPr>
            <w:r>
              <w:t>Governance.</w:t>
            </w:r>
          </w:p>
        </w:tc>
      </w:tr>
      <w:tr w:rsidR="001B54B8" w14:paraId="300A9119" w14:textId="77777777" w:rsidTr="001B54B8">
        <w:trPr>
          <w:cantSplit/>
          <w:tblHeader/>
        </w:trPr>
        <w:tc>
          <w:tcPr>
            <w:tcW w:w="538" w:type="pct"/>
            <w:shd w:val="clear" w:color="auto" w:fill="EBF4F8"/>
            <w:tcMar>
              <w:top w:w="100" w:type="dxa"/>
              <w:left w:w="160" w:type="dxa"/>
              <w:bottom w:w="100" w:type="dxa"/>
              <w:right w:w="160" w:type="dxa"/>
            </w:tcMar>
          </w:tcPr>
          <w:p w14:paraId="475B107D" w14:textId="13E79DFF" w:rsidR="001B54B8" w:rsidRDefault="001B54B8">
            <w:pPr>
              <w:spacing w:before="40" w:after="40"/>
              <w:rPr>
                <w:b/>
                <w:bCs/>
                <w:color w:val="1F3864"/>
                <w:sz w:val="19"/>
                <w:szCs w:val="19"/>
              </w:rPr>
            </w:pPr>
            <w:r>
              <w:rPr>
                <w:b/>
                <w:bCs/>
                <w:color w:val="1F3864"/>
                <w:sz w:val="19"/>
                <w:szCs w:val="19"/>
              </w:rPr>
              <w:lastRenderedPageBreak/>
              <w:t>MYP Assessments/ Performance Tasks</w:t>
            </w:r>
          </w:p>
        </w:tc>
        <w:tc>
          <w:tcPr>
            <w:tcW w:w="734" w:type="pct"/>
            <w:shd w:val="clear" w:color="auto" w:fill="FFFFFF" w:themeFill="background1"/>
            <w:tcMar>
              <w:top w:w="100" w:type="dxa"/>
              <w:left w:w="160" w:type="dxa"/>
              <w:bottom w:w="100" w:type="dxa"/>
              <w:right w:w="160" w:type="dxa"/>
            </w:tcMar>
            <w:vAlign w:val="center"/>
          </w:tcPr>
          <w:p w14:paraId="0B945927" w14:textId="77777777" w:rsidR="001B54B8" w:rsidRDefault="001B54B8" w:rsidP="7E517DCC">
            <w:pPr>
              <w:spacing w:before="40" w:after="40"/>
              <w:jc w:val="center"/>
              <w:rPr>
                <w:b/>
                <w:bCs/>
                <w:color w:val="1F3864"/>
              </w:rPr>
            </w:pPr>
            <w:r>
              <w:t>Stranded Island Activity: Students work collaboratively to use their knowledge of SSCG1 to create their ideal government.</w:t>
            </w:r>
            <w:r>
              <w:br/>
              <w:t>Criterion C: Communicating.</w:t>
            </w:r>
            <w:r>
              <w:br/>
              <w:t>Criterion D: Thinking Critically.</w:t>
            </w:r>
          </w:p>
        </w:tc>
        <w:tc>
          <w:tcPr>
            <w:tcW w:w="734" w:type="pct"/>
            <w:shd w:val="clear" w:color="auto" w:fill="FFFFFF" w:themeFill="background1"/>
            <w:tcMar>
              <w:top w:w="100" w:type="dxa"/>
              <w:left w:w="160" w:type="dxa"/>
              <w:bottom w:w="100" w:type="dxa"/>
              <w:right w:w="160" w:type="dxa"/>
            </w:tcMar>
            <w:vAlign w:val="center"/>
          </w:tcPr>
          <w:p w14:paraId="552CDEC5" w14:textId="77777777" w:rsidR="001B54B8" w:rsidRDefault="001B54B8" w:rsidP="7E517DCC">
            <w:pPr>
              <w:spacing w:before="40" w:after="40"/>
              <w:jc w:val="center"/>
              <w:rPr>
                <w:b/>
                <w:bCs/>
                <w:color w:val="1F3864"/>
              </w:rPr>
            </w:pPr>
            <w:r>
              <w:t>Congressional Leadership &amp; Committees Group Research and Presentation: Students will access real-world learning connections to gain a bigger perspective of how influential we are as constituents in the nomination, voting, campaigning, and election process.</w:t>
            </w:r>
            <w:r>
              <w:br/>
              <w:t>Criterion A: Knowing and Understanding.</w:t>
            </w:r>
            <w:r>
              <w:br/>
              <w:t>Criterion B: Investigating.</w:t>
            </w:r>
            <w:r>
              <w:br/>
              <w:t>Criterion C: Communicating.</w:t>
            </w:r>
            <w:r>
              <w:br/>
              <w:t>Criterion D: Critical Thinking.</w:t>
            </w:r>
          </w:p>
        </w:tc>
        <w:tc>
          <w:tcPr>
            <w:tcW w:w="901" w:type="pct"/>
            <w:shd w:val="clear" w:color="auto" w:fill="FFFFFF" w:themeFill="background1"/>
            <w:tcMar>
              <w:top w:w="100" w:type="dxa"/>
              <w:left w:w="160" w:type="dxa"/>
              <w:bottom w:w="100" w:type="dxa"/>
              <w:right w:w="160" w:type="dxa"/>
            </w:tcMar>
            <w:vAlign w:val="center"/>
          </w:tcPr>
          <w:p w14:paraId="356B0ED9" w14:textId="77777777" w:rsidR="001B54B8" w:rsidRDefault="001B54B8" w:rsidP="7E517DCC">
            <w:pPr>
              <w:spacing w:before="40" w:after="40"/>
              <w:jc w:val="center"/>
              <w:rPr>
                <w:b/>
                <w:bCs/>
                <w:color w:val="1F3864"/>
              </w:rPr>
            </w:pPr>
            <w:r>
              <w:t>Executive Branch Campaign Project: Students access real-world learning connections to gain a bigger perspective of how influential we are as constituents in the nomination, voting, campaigning, and election process.</w:t>
            </w:r>
            <w:r>
              <w:br/>
              <w:t>Criterion A: Knowing and Understanding.</w:t>
            </w:r>
            <w:r>
              <w:br/>
              <w:t>Criterion B: Investigating.</w:t>
            </w:r>
            <w:r>
              <w:br/>
              <w:t>Criterion C: Communicating.</w:t>
            </w:r>
            <w:r>
              <w:br/>
              <w:t>Criterion D: Critical Thinking.</w:t>
            </w:r>
          </w:p>
        </w:tc>
        <w:tc>
          <w:tcPr>
            <w:tcW w:w="844" w:type="pct"/>
            <w:shd w:val="clear" w:color="auto" w:fill="FFFFFF" w:themeFill="background1"/>
            <w:tcMar>
              <w:top w:w="100" w:type="dxa"/>
              <w:left w:w="160" w:type="dxa"/>
              <w:bottom w:w="100" w:type="dxa"/>
              <w:right w:w="160" w:type="dxa"/>
            </w:tcMar>
            <w:vAlign w:val="center"/>
          </w:tcPr>
          <w:p w14:paraId="67256828" w14:textId="2A90D1B5" w:rsidR="001B54B8" w:rsidRDefault="001B54B8" w:rsidP="7E517DCC">
            <w:pPr>
              <w:spacing w:before="40" w:after="40"/>
              <w:jc w:val="center"/>
              <w:rPr>
                <w:b/>
                <w:bCs/>
                <w:color w:val="1F3864"/>
              </w:rPr>
            </w:pPr>
            <w:r>
              <w:t>Judicial Branch Supreme Court Case Analysis and Presentation: Students will be assigned a specific Supreme Court Case, analyzing its decision and the impact of the lasting precedent.</w:t>
            </w:r>
            <w:r>
              <w:br/>
              <w:t>Criterion A: Knowing and Understanding.</w:t>
            </w:r>
            <w:r>
              <w:br/>
              <w:t>Criterion B: Investigating.</w:t>
            </w:r>
            <w:r>
              <w:br/>
              <w:t>Criterion C: Communicating.</w:t>
            </w:r>
            <w:r>
              <w:br/>
              <w:t>Criterion D: Critical Thinking.</w:t>
            </w:r>
          </w:p>
        </w:tc>
        <w:tc>
          <w:tcPr>
            <w:tcW w:w="1249" w:type="pct"/>
            <w:shd w:val="clear" w:color="auto" w:fill="FFFFFF" w:themeFill="background1"/>
            <w:tcMar>
              <w:top w:w="100" w:type="dxa"/>
              <w:left w:w="160" w:type="dxa"/>
              <w:bottom w:w="100" w:type="dxa"/>
              <w:right w:w="160" w:type="dxa"/>
            </w:tcMar>
            <w:vAlign w:val="center"/>
          </w:tcPr>
          <w:p w14:paraId="2119B1C1" w14:textId="60F92735" w:rsidR="001B54B8" w:rsidRDefault="001B54B8" w:rsidP="7E517DCC">
            <w:pPr>
              <w:spacing w:before="40" w:after="40"/>
              <w:jc w:val="center"/>
              <w:rPr>
                <w:b/>
                <w:bCs/>
                <w:color w:val="1F3864"/>
              </w:rPr>
            </w:pPr>
            <w:r>
              <w:t>Limitations on State and Local Governments Newscast: Students use primary and secondary sources and online research to examine the various categories of services provided to citizens by the state and local governments, and create a multimedia presentation to present to the class.</w:t>
            </w:r>
            <w:r>
              <w:br/>
              <w:t>Criterion A: Investigating.</w:t>
            </w:r>
            <w:r>
              <w:br/>
              <w:t>Criterion C: Communicating.</w:t>
            </w:r>
          </w:p>
        </w:tc>
      </w:tr>
    </w:tbl>
    <w:p w14:paraId="0E07C746" w14:textId="04BC09CE" w:rsidR="002271C1" w:rsidRDefault="002271C1" w:rsidP="003A7E03">
      <w:pPr>
        <w:pStyle w:val="Heading2"/>
      </w:pPr>
      <w:r>
        <w:t>Content Specific Information</w:t>
      </w:r>
    </w:p>
    <w:tbl>
      <w:tblPr>
        <w:tblW w:w="143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905"/>
        <w:gridCol w:w="1967"/>
        <w:gridCol w:w="2073"/>
        <w:gridCol w:w="2420"/>
        <w:gridCol w:w="2430"/>
        <w:gridCol w:w="3600"/>
      </w:tblGrid>
      <w:tr w:rsidR="001B54B8" w14:paraId="7366D819" w14:textId="77777777" w:rsidTr="001B54B8">
        <w:trPr>
          <w:tblHeader/>
        </w:trPr>
        <w:tc>
          <w:tcPr>
            <w:tcW w:w="1905" w:type="dxa"/>
            <w:shd w:val="clear" w:color="auto" w:fill="1F3864"/>
            <w:tcMar>
              <w:top w:w="100" w:type="dxa"/>
              <w:left w:w="160" w:type="dxa"/>
              <w:bottom w:w="100" w:type="dxa"/>
              <w:right w:w="160" w:type="dxa"/>
            </w:tcMar>
          </w:tcPr>
          <w:p w14:paraId="35671FF4" w14:textId="77777777" w:rsidR="001B54B8" w:rsidRDefault="001B54B8" w:rsidP="0019094F">
            <w:pPr>
              <w:spacing w:before="40" w:after="40"/>
            </w:pPr>
            <w:r>
              <w:rPr>
                <w:b/>
                <w:bCs/>
                <w:color w:val="FFFFFF"/>
                <w:sz w:val="18"/>
                <w:szCs w:val="18"/>
              </w:rPr>
              <w:t>Section</w:t>
            </w:r>
          </w:p>
        </w:tc>
        <w:tc>
          <w:tcPr>
            <w:tcW w:w="1967" w:type="dxa"/>
            <w:shd w:val="clear" w:color="auto" w:fill="1B6B8A"/>
            <w:tcMar>
              <w:top w:w="100" w:type="dxa"/>
              <w:left w:w="160" w:type="dxa"/>
              <w:bottom w:w="100" w:type="dxa"/>
              <w:right w:w="160" w:type="dxa"/>
            </w:tcMar>
            <w:vAlign w:val="center"/>
          </w:tcPr>
          <w:p w14:paraId="5041A6E3" w14:textId="77777777" w:rsidR="001B54B8" w:rsidRDefault="001B54B8" w:rsidP="0019094F">
            <w:pPr>
              <w:spacing w:before="40" w:after="40"/>
              <w:jc w:val="center"/>
            </w:pPr>
            <w:r>
              <w:rPr>
                <w:b/>
                <w:bCs/>
                <w:color w:val="FFFFFF"/>
                <w:sz w:val="18"/>
                <w:szCs w:val="18"/>
              </w:rPr>
              <w:t>Unit 1</w:t>
            </w:r>
          </w:p>
        </w:tc>
        <w:tc>
          <w:tcPr>
            <w:tcW w:w="2073" w:type="dxa"/>
            <w:shd w:val="clear" w:color="auto" w:fill="1B6B8A"/>
            <w:tcMar>
              <w:top w:w="100" w:type="dxa"/>
              <w:left w:w="160" w:type="dxa"/>
              <w:bottom w:w="100" w:type="dxa"/>
              <w:right w:w="160" w:type="dxa"/>
            </w:tcMar>
            <w:vAlign w:val="center"/>
          </w:tcPr>
          <w:p w14:paraId="01AC24BE" w14:textId="77777777" w:rsidR="001B54B8" w:rsidRDefault="001B54B8" w:rsidP="0019094F">
            <w:pPr>
              <w:spacing w:before="40" w:after="40"/>
              <w:jc w:val="center"/>
            </w:pPr>
            <w:r>
              <w:rPr>
                <w:b/>
                <w:bCs/>
                <w:color w:val="FFFFFF"/>
                <w:sz w:val="18"/>
                <w:szCs w:val="18"/>
              </w:rPr>
              <w:t>Unit 2</w:t>
            </w:r>
          </w:p>
        </w:tc>
        <w:tc>
          <w:tcPr>
            <w:tcW w:w="2420" w:type="dxa"/>
            <w:shd w:val="clear" w:color="auto" w:fill="1B6B8A"/>
            <w:tcMar>
              <w:top w:w="100" w:type="dxa"/>
              <w:left w:w="160" w:type="dxa"/>
              <w:bottom w:w="100" w:type="dxa"/>
              <w:right w:w="160" w:type="dxa"/>
            </w:tcMar>
            <w:vAlign w:val="center"/>
          </w:tcPr>
          <w:p w14:paraId="440A2B12" w14:textId="77777777" w:rsidR="001B54B8" w:rsidRDefault="001B54B8" w:rsidP="0019094F">
            <w:pPr>
              <w:spacing w:before="40" w:after="40"/>
              <w:jc w:val="center"/>
            </w:pPr>
            <w:r>
              <w:rPr>
                <w:b/>
                <w:bCs/>
                <w:color w:val="FFFFFF"/>
                <w:sz w:val="18"/>
                <w:szCs w:val="18"/>
              </w:rPr>
              <w:t>Unit 3</w:t>
            </w:r>
          </w:p>
        </w:tc>
        <w:tc>
          <w:tcPr>
            <w:tcW w:w="2430" w:type="dxa"/>
            <w:shd w:val="clear" w:color="auto" w:fill="1B6B8A"/>
            <w:tcMar>
              <w:top w:w="100" w:type="dxa"/>
              <w:left w:w="160" w:type="dxa"/>
              <w:bottom w:w="100" w:type="dxa"/>
              <w:right w:w="160" w:type="dxa"/>
            </w:tcMar>
            <w:vAlign w:val="center"/>
          </w:tcPr>
          <w:p w14:paraId="55232529" w14:textId="77777777" w:rsidR="001B54B8" w:rsidRDefault="001B54B8" w:rsidP="0019094F">
            <w:pPr>
              <w:spacing w:before="40" w:after="40"/>
              <w:jc w:val="center"/>
            </w:pPr>
            <w:r>
              <w:rPr>
                <w:b/>
                <w:bCs/>
                <w:color w:val="FFFFFF"/>
                <w:sz w:val="18"/>
                <w:szCs w:val="18"/>
              </w:rPr>
              <w:t>Unit 4</w:t>
            </w:r>
          </w:p>
        </w:tc>
        <w:tc>
          <w:tcPr>
            <w:tcW w:w="3600" w:type="dxa"/>
            <w:shd w:val="clear" w:color="auto" w:fill="1B6B8A"/>
            <w:tcMar>
              <w:top w:w="100" w:type="dxa"/>
              <w:left w:w="160" w:type="dxa"/>
              <w:bottom w:w="100" w:type="dxa"/>
              <w:right w:w="160" w:type="dxa"/>
            </w:tcMar>
            <w:vAlign w:val="center"/>
          </w:tcPr>
          <w:p w14:paraId="40557BA6" w14:textId="77777777" w:rsidR="001B54B8" w:rsidRDefault="001B54B8" w:rsidP="0019094F">
            <w:pPr>
              <w:spacing w:before="40" w:after="40"/>
              <w:jc w:val="center"/>
            </w:pPr>
            <w:r>
              <w:rPr>
                <w:b/>
                <w:bCs/>
                <w:color w:val="FFFFFF"/>
                <w:sz w:val="18"/>
                <w:szCs w:val="18"/>
              </w:rPr>
              <w:t>Unit 5</w:t>
            </w:r>
          </w:p>
        </w:tc>
      </w:tr>
      <w:tr w:rsidR="001B54B8" w14:paraId="68569B13" w14:textId="77777777" w:rsidTr="001B54B8">
        <w:tc>
          <w:tcPr>
            <w:tcW w:w="1905" w:type="dxa"/>
            <w:shd w:val="clear" w:color="auto" w:fill="EBF4F8"/>
            <w:tcMar>
              <w:top w:w="100" w:type="dxa"/>
              <w:left w:w="160" w:type="dxa"/>
              <w:bottom w:w="100" w:type="dxa"/>
              <w:right w:w="160" w:type="dxa"/>
            </w:tcMar>
          </w:tcPr>
          <w:p w14:paraId="06CB03DA" w14:textId="77777777" w:rsidR="001B54B8" w:rsidRPr="002271C1" w:rsidRDefault="001B54B8" w:rsidP="002271C1">
            <w:pPr>
              <w:spacing w:before="40" w:after="40"/>
              <w:rPr>
                <w:b/>
                <w:bCs/>
                <w:color w:val="1F3864"/>
                <w:sz w:val="19"/>
                <w:szCs w:val="19"/>
              </w:rPr>
            </w:pPr>
            <w:r>
              <w:rPr>
                <w:b/>
                <w:bCs/>
                <w:color w:val="1F3864"/>
                <w:sz w:val="19"/>
                <w:szCs w:val="19"/>
              </w:rPr>
              <w:t>Design Cycle</w:t>
            </w:r>
          </w:p>
          <w:p w14:paraId="4B7D1A83" w14:textId="355F86D5" w:rsidR="001B54B8" w:rsidRDefault="001B54B8" w:rsidP="002271C1">
            <w:pPr>
              <w:spacing w:before="40" w:after="40"/>
            </w:pPr>
            <w:r>
              <w:rPr>
                <w:b/>
                <w:bCs/>
                <w:color w:val="1F3864"/>
                <w:sz w:val="19"/>
                <w:szCs w:val="19"/>
              </w:rPr>
              <w:t>Transdisciplinary</w:t>
            </w:r>
          </w:p>
        </w:tc>
        <w:tc>
          <w:tcPr>
            <w:tcW w:w="1967" w:type="dxa"/>
            <w:shd w:val="clear" w:color="auto" w:fill="FFFFFF" w:themeFill="background1"/>
            <w:tcMar>
              <w:top w:w="100" w:type="dxa"/>
              <w:left w:w="160" w:type="dxa"/>
              <w:bottom w:w="100" w:type="dxa"/>
              <w:right w:w="160" w:type="dxa"/>
            </w:tcMar>
            <w:vAlign w:val="center"/>
          </w:tcPr>
          <w:p w14:paraId="196EEEEE" w14:textId="77777777" w:rsidR="001B54B8" w:rsidRDefault="001B54B8" w:rsidP="7E517DCC">
            <w:pPr>
              <w:spacing w:before="40" w:after="40"/>
              <w:jc w:val="center"/>
            </w:pPr>
            <w:r>
              <w:t>Literacy Standards: L9-10RHSS1, L9-10RHSS2, L9-10RHSS3, L9-10WHST1, L9-10WHST2, L9-10RHSS4, L9-10RHSS5, L9-10RHSS7, L9-</w:t>
            </w:r>
            <w:r>
              <w:lastRenderedPageBreak/>
              <w:t>10RHSS8, L9-10WHST10.</w:t>
            </w:r>
          </w:p>
        </w:tc>
        <w:tc>
          <w:tcPr>
            <w:tcW w:w="2073" w:type="dxa"/>
            <w:shd w:val="clear" w:color="auto" w:fill="FFFFFF" w:themeFill="background1"/>
            <w:tcMar>
              <w:top w:w="100" w:type="dxa"/>
              <w:left w:w="160" w:type="dxa"/>
              <w:bottom w:w="100" w:type="dxa"/>
              <w:right w:w="160" w:type="dxa"/>
            </w:tcMar>
            <w:vAlign w:val="center"/>
          </w:tcPr>
          <w:p w14:paraId="4FD0E40C" w14:textId="77777777" w:rsidR="001B54B8" w:rsidRDefault="001B54B8" w:rsidP="7E517DCC">
            <w:pPr>
              <w:spacing w:before="40" w:after="40"/>
              <w:jc w:val="center"/>
            </w:pPr>
            <w:r>
              <w:lastRenderedPageBreak/>
              <w:t>Literacy Standards: L9-10RHSS1, L9-10RHSS2, L9-10WHST1, L9-10WHST2, L9-10RHSS6, L9-10RHSS9, L9-10WHST6.</w:t>
            </w:r>
          </w:p>
        </w:tc>
        <w:tc>
          <w:tcPr>
            <w:tcW w:w="2420" w:type="dxa"/>
            <w:shd w:val="clear" w:color="auto" w:fill="FFFFFF" w:themeFill="background1"/>
            <w:tcMar>
              <w:top w:w="100" w:type="dxa"/>
              <w:left w:w="160" w:type="dxa"/>
              <w:bottom w:w="100" w:type="dxa"/>
              <w:right w:w="160" w:type="dxa"/>
            </w:tcMar>
            <w:vAlign w:val="center"/>
          </w:tcPr>
          <w:p w14:paraId="1BC9740F" w14:textId="77777777" w:rsidR="001B54B8" w:rsidRDefault="001B54B8" w:rsidP="7E517DCC">
            <w:pPr>
              <w:spacing w:before="40" w:after="40"/>
              <w:jc w:val="center"/>
            </w:pPr>
            <w:r>
              <w:t>Literacy Standards: L9-10RHSS1, L9-10RHSS2, L9-10WHST1, L9-10WHST2, L9-10WHST4, L9-10WHST9.</w:t>
            </w:r>
          </w:p>
        </w:tc>
        <w:tc>
          <w:tcPr>
            <w:tcW w:w="2430" w:type="dxa"/>
            <w:shd w:val="clear" w:color="auto" w:fill="FFFFFF" w:themeFill="background1"/>
            <w:tcMar>
              <w:top w:w="100" w:type="dxa"/>
              <w:left w:w="160" w:type="dxa"/>
              <w:bottom w:w="100" w:type="dxa"/>
              <w:right w:w="160" w:type="dxa"/>
            </w:tcMar>
            <w:vAlign w:val="center"/>
          </w:tcPr>
          <w:p w14:paraId="1A7612CE" w14:textId="77777777" w:rsidR="001B54B8" w:rsidRDefault="001B54B8" w:rsidP="7E517DCC">
            <w:pPr>
              <w:spacing w:before="40" w:after="40"/>
              <w:jc w:val="center"/>
            </w:pPr>
            <w:r>
              <w:t>Literacy Standards: L9-10RHSS1, L9-10RHSS2, L9-10WHST1, L9-10WHST2.</w:t>
            </w:r>
          </w:p>
        </w:tc>
        <w:tc>
          <w:tcPr>
            <w:tcW w:w="3600" w:type="dxa"/>
            <w:shd w:val="clear" w:color="auto" w:fill="FFFFFF" w:themeFill="background1"/>
            <w:tcMar>
              <w:top w:w="100" w:type="dxa"/>
              <w:left w:w="160" w:type="dxa"/>
              <w:bottom w:w="100" w:type="dxa"/>
              <w:right w:w="160" w:type="dxa"/>
            </w:tcMar>
            <w:vAlign w:val="center"/>
          </w:tcPr>
          <w:p w14:paraId="3EBC3AE2" w14:textId="77777777" w:rsidR="001B54B8" w:rsidRDefault="001B54B8" w:rsidP="7E517DCC">
            <w:pPr>
              <w:spacing w:before="40" w:after="40"/>
              <w:jc w:val="center"/>
            </w:pPr>
            <w:r>
              <w:t>Literacy Standards: L9-10RHSS1, L9-10RHSS2, L9-10WHST8.</w:t>
            </w:r>
          </w:p>
        </w:tc>
      </w:tr>
    </w:tbl>
    <w:p w14:paraId="4ADAD122" w14:textId="4A578F28" w:rsidR="002271C1" w:rsidRDefault="002271C1" w:rsidP="002271C1">
      <w:pPr>
        <w:pStyle w:val="Heading2"/>
      </w:pPr>
      <w:r>
        <w:t>Differentiation for Tiered Learners</w:t>
      </w:r>
    </w:p>
    <w:p w14:paraId="4B5EB5E0" w14:textId="77777777" w:rsidR="001749E5" w:rsidRPr="001749E5" w:rsidRDefault="001749E5" w:rsidP="001749E5">
      <w:r>
        <w:t>Marietta City Schools teachers provide specific differentiation of learning experiences for all students. Details for differentiation for common learning experiences are included on the district unit planners.</w:t>
      </w:r>
    </w:p>
    <w:sectPr w:rsidR="001749E5" w:rsidRPr="001749E5">
      <w:footerReference w:type="default" r:id="rId11"/>
      <w:pgSz w:w="15840" w:h="12240" w:orient="landscape"/>
      <w:pgMar w:top="720" w:right="720" w:bottom="720" w:left="72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07295F" w14:textId="77777777" w:rsidR="004F058A" w:rsidRDefault="004F058A">
      <w:r>
        <w:separator/>
      </w:r>
    </w:p>
  </w:endnote>
  <w:endnote w:type="continuationSeparator" w:id="0">
    <w:p w14:paraId="67E20646" w14:textId="77777777" w:rsidR="004F058A" w:rsidRDefault="004F05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 w:name="Montserrat">
    <w:charset w:val="00"/>
    <w:family w:val="auto"/>
    <w:pitch w:val="variable"/>
    <w:sig w:usb0="2000020F" w:usb1="00000003" w:usb2="00000000" w:usb3="00000000" w:csb0="00000197"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915BF" w14:textId="07CC741C" w:rsidR="001E31B2" w:rsidRDefault="001E31B2">
    <w:pPr>
      <w:spacing w:before="4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25BC50" w14:textId="77777777" w:rsidR="004F058A" w:rsidRDefault="004F058A">
      <w:r>
        <w:separator/>
      </w:r>
    </w:p>
  </w:footnote>
  <w:footnote w:type="continuationSeparator" w:id="0">
    <w:p w14:paraId="5607195E" w14:textId="77777777" w:rsidR="004F058A" w:rsidRDefault="004F05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B06D9F"/>
    <w:multiLevelType w:val="hybridMultilevel"/>
    <w:tmpl w:val="968AB216"/>
    <w:lvl w:ilvl="0" w:tplc="9D82ED36">
      <w:start w:val="1"/>
      <w:numFmt w:val="bullet"/>
      <w:lvlText w:val="●"/>
      <w:lvlJc w:val="left"/>
      <w:pPr>
        <w:ind w:left="720" w:hanging="360"/>
      </w:pPr>
    </w:lvl>
    <w:lvl w:ilvl="1" w:tplc="F244DC20">
      <w:start w:val="1"/>
      <w:numFmt w:val="bullet"/>
      <w:lvlText w:val="○"/>
      <w:lvlJc w:val="left"/>
      <w:pPr>
        <w:ind w:left="1440" w:hanging="360"/>
      </w:pPr>
    </w:lvl>
    <w:lvl w:ilvl="2" w:tplc="44107600">
      <w:start w:val="1"/>
      <w:numFmt w:val="bullet"/>
      <w:lvlText w:val="■"/>
      <w:lvlJc w:val="left"/>
      <w:pPr>
        <w:ind w:left="2160" w:hanging="360"/>
      </w:pPr>
    </w:lvl>
    <w:lvl w:ilvl="3" w:tplc="501A54A8">
      <w:start w:val="1"/>
      <w:numFmt w:val="bullet"/>
      <w:lvlText w:val="●"/>
      <w:lvlJc w:val="left"/>
      <w:pPr>
        <w:ind w:left="2880" w:hanging="360"/>
      </w:pPr>
    </w:lvl>
    <w:lvl w:ilvl="4" w:tplc="40D0D424">
      <w:start w:val="1"/>
      <w:numFmt w:val="bullet"/>
      <w:lvlText w:val="○"/>
      <w:lvlJc w:val="left"/>
      <w:pPr>
        <w:ind w:left="3600" w:hanging="360"/>
      </w:pPr>
    </w:lvl>
    <w:lvl w:ilvl="5" w:tplc="1DEA24F8">
      <w:start w:val="1"/>
      <w:numFmt w:val="bullet"/>
      <w:lvlText w:val="■"/>
      <w:lvlJc w:val="left"/>
      <w:pPr>
        <w:ind w:left="4320" w:hanging="360"/>
      </w:pPr>
    </w:lvl>
    <w:lvl w:ilvl="6" w:tplc="860E593C">
      <w:start w:val="1"/>
      <w:numFmt w:val="bullet"/>
      <w:lvlText w:val="●"/>
      <w:lvlJc w:val="left"/>
      <w:pPr>
        <w:ind w:left="5040" w:hanging="360"/>
      </w:pPr>
    </w:lvl>
    <w:lvl w:ilvl="7" w:tplc="EC004EAC">
      <w:start w:val="1"/>
      <w:numFmt w:val="bullet"/>
      <w:lvlText w:val="●"/>
      <w:lvlJc w:val="left"/>
      <w:pPr>
        <w:ind w:left="5760" w:hanging="360"/>
      </w:pPr>
    </w:lvl>
    <w:lvl w:ilvl="8" w:tplc="71A41794">
      <w:start w:val="1"/>
      <w:numFmt w:val="bullet"/>
      <w:lvlText w:val="●"/>
      <w:lvlJc w:val="left"/>
      <w:pPr>
        <w:ind w:left="6480" w:hanging="360"/>
      </w:pPr>
    </w:lvl>
  </w:abstractNum>
  <w:num w:numId="1" w16cid:durableId="83329945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31B2"/>
    <w:rsid w:val="000132EF"/>
    <w:rsid w:val="000549E4"/>
    <w:rsid w:val="00123354"/>
    <w:rsid w:val="001749E5"/>
    <w:rsid w:val="001B54B8"/>
    <w:rsid w:val="001E31B2"/>
    <w:rsid w:val="002271C1"/>
    <w:rsid w:val="003A7E03"/>
    <w:rsid w:val="003D118F"/>
    <w:rsid w:val="004B7A3C"/>
    <w:rsid w:val="004D0569"/>
    <w:rsid w:val="004F058A"/>
    <w:rsid w:val="00562E8B"/>
    <w:rsid w:val="006B5E1C"/>
    <w:rsid w:val="00807A6B"/>
    <w:rsid w:val="009956B5"/>
    <w:rsid w:val="009E6E37"/>
    <w:rsid w:val="00A12F25"/>
    <w:rsid w:val="00A77DD3"/>
    <w:rsid w:val="00CC0430"/>
    <w:rsid w:val="00D2527D"/>
    <w:rsid w:val="00D952F1"/>
    <w:rsid w:val="00E72DBC"/>
    <w:rsid w:val="00EA3400"/>
    <w:rsid w:val="00EC3118"/>
    <w:rsid w:val="00F71A4E"/>
    <w:rsid w:val="00F80AD0"/>
    <w:rsid w:val="00FC5CD4"/>
    <w:rsid w:val="33AB3141"/>
    <w:rsid w:val="7712DA7D"/>
    <w:rsid w:val="7742D826"/>
    <w:rsid w:val="7E517D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4352C9"/>
  <w15:docId w15:val="{2A814DB6-8883-4EA6-AA33-EB82DF86A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1A1A1A"/>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49E5"/>
    <w:rPr>
      <w:rFonts w:ascii="Roboto" w:hAnsi="Roboto"/>
    </w:rPr>
  </w:style>
  <w:style w:type="paragraph" w:styleId="Heading1">
    <w:name w:val="heading 1"/>
    <w:uiPriority w:val="9"/>
    <w:qFormat/>
    <w:rsid w:val="001749E5"/>
    <w:pPr>
      <w:spacing w:before="200" w:after="160"/>
      <w:outlineLvl w:val="0"/>
    </w:pPr>
    <w:rPr>
      <w:rFonts w:ascii="Montserrat" w:hAnsi="Montserrat"/>
      <w:b/>
      <w:bCs/>
      <w:color w:val="1F3864"/>
      <w:sz w:val="36"/>
      <w:szCs w:val="36"/>
    </w:rPr>
  </w:style>
  <w:style w:type="paragraph" w:styleId="Heading2">
    <w:name w:val="heading 2"/>
    <w:uiPriority w:val="9"/>
    <w:unhideWhenUsed/>
    <w:qFormat/>
    <w:rsid w:val="001749E5"/>
    <w:pPr>
      <w:spacing w:before="240" w:after="120"/>
      <w:outlineLvl w:val="1"/>
    </w:pPr>
    <w:rPr>
      <w:rFonts w:ascii="Montserrat" w:hAnsi="Montserrat"/>
      <w:b/>
      <w:bCs/>
      <w:color w:val="1B6B8A"/>
      <w:sz w:val="28"/>
      <w:szCs w:val="28"/>
    </w:rPr>
  </w:style>
  <w:style w:type="paragraph" w:styleId="Heading3">
    <w:name w:val="heading 3"/>
    <w:uiPriority w:val="9"/>
    <w:unhideWhenUsed/>
    <w:qFormat/>
    <w:rsid w:val="009E6E37"/>
    <w:pPr>
      <w:outlineLvl w:val="2"/>
    </w:pPr>
    <w:rPr>
      <w:rFonts w:ascii="Montserrat" w:hAnsi="Montserrat"/>
      <w:color w:val="1F4D78"/>
      <w:sz w:val="24"/>
      <w:szCs w:val="24"/>
      <w:u w:val="single"/>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A12F25"/>
    <w:pPr>
      <w:tabs>
        <w:tab w:val="center" w:pos="4680"/>
        <w:tab w:val="right" w:pos="9360"/>
      </w:tabs>
    </w:pPr>
  </w:style>
  <w:style w:type="character" w:customStyle="1" w:styleId="HeaderChar">
    <w:name w:val="Header Char"/>
    <w:basedOn w:val="DefaultParagraphFont"/>
    <w:link w:val="Header"/>
    <w:uiPriority w:val="99"/>
    <w:rsid w:val="00A12F25"/>
  </w:style>
  <w:style w:type="paragraph" w:styleId="Footer">
    <w:name w:val="footer"/>
    <w:basedOn w:val="Normal"/>
    <w:link w:val="FooterChar"/>
    <w:uiPriority w:val="99"/>
    <w:unhideWhenUsed/>
    <w:rsid w:val="00A12F25"/>
    <w:pPr>
      <w:tabs>
        <w:tab w:val="center" w:pos="4680"/>
        <w:tab w:val="right" w:pos="9360"/>
      </w:tabs>
    </w:pPr>
  </w:style>
  <w:style w:type="character" w:customStyle="1" w:styleId="FooterChar">
    <w:name w:val="Footer Char"/>
    <w:basedOn w:val="DefaultParagraphFont"/>
    <w:link w:val="Footer"/>
    <w:uiPriority w:val="99"/>
    <w:rsid w:val="00A12F25"/>
  </w:style>
  <w:style w:type="paragraph" w:styleId="Revision">
    <w:name w:val="Revision"/>
    <w:hidden/>
    <w:uiPriority w:val="99"/>
    <w:semiHidden/>
    <w:rsid w:val="00F71A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2EC3F049A11AB4E897BB32542F6AB80" ma:contentTypeVersion="6" ma:contentTypeDescription="Create a new document." ma:contentTypeScope="" ma:versionID="b7fdf1f4ebdc69e60fc6cf6f2314f941">
  <xsd:schema xmlns:xsd="http://www.w3.org/2001/XMLSchema" xmlns:xs="http://www.w3.org/2001/XMLSchema" xmlns:p="http://schemas.microsoft.com/office/2006/metadata/properties" xmlns:ns2="f0c7aa5d-1801-4bf3-9c83-bf49c31beba3" targetNamespace="http://schemas.microsoft.com/office/2006/metadata/properties" ma:root="true" ma:fieldsID="a0779533550c2da14cab1a544ca5ffd9" ns2:_="">
    <xsd:import namespace="f0c7aa5d-1801-4bf3-9c83-bf49c31beba3"/>
    <xsd:element name="properties">
      <xsd:complexType>
        <xsd:sequence>
          <xsd:element name="documentManagement">
            <xsd:complexType>
              <xsd:all>
                <xsd:element ref="ns2:CourseID" minOccurs="0"/>
                <xsd:element ref="ns2:PublishDate" minOccurs="0"/>
                <xsd:element ref="ns2:SubjectArea" minOccurs="0"/>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c7aa5d-1801-4bf3-9c83-bf49c31beba3" elementFormDefault="qualified">
    <xsd:import namespace="http://schemas.microsoft.com/office/2006/documentManagement/types"/>
    <xsd:import namespace="http://schemas.microsoft.com/office/infopath/2007/PartnerControls"/>
    <xsd:element name="CourseID" ma:index="8" nillable="true" ma:displayName="CourseID" ma:format="Dropdown" ma:internalName="CourseID">
      <xsd:simpleType>
        <xsd:restriction base="dms:Text">
          <xsd:maxLength value="255"/>
        </xsd:restriction>
      </xsd:simpleType>
    </xsd:element>
    <xsd:element name="PublishDate" ma:index="9" nillable="true" ma:displayName="Publish Date" ma:format="DateOnly" ma:internalName="PublishDate">
      <xsd:simpleType>
        <xsd:restriction base="dms:DateTime"/>
      </xsd:simpleType>
    </xsd:element>
    <xsd:element name="SubjectArea" ma:index="10" nillable="true" ma:displayName="Subject Area" ma:format="Dropdown" ma:internalName="SubjectArea">
      <xsd:simpleType>
        <xsd:restriction base="dms:Choice">
          <xsd:enumeration value="Math"/>
          <xsd:enumeration value="Science"/>
          <xsd:enumeration value="Social Studies"/>
          <xsd:enumeration value="English Language Arts"/>
          <xsd:enumeration value="Health"/>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ubjectArea xmlns="f0c7aa5d-1801-4bf3-9c83-bf49c31beba3">Social Studies</SubjectArea>
    <PublishDate xmlns="f0c7aa5d-1801-4bf3-9c83-bf49c31beba3" xsi:nil="true"/>
    <CourseID xmlns="f0c7aa5d-1801-4bf3-9c83-bf49c31beba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6D06314-F63B-40F1-BCC3-7139FBFCFD16}"/>
</file>

<file path=customXml/itemProps2.xml><?xml version="1.0" encoding="utf-8"?>
<ds:datastoreItem xmlns:ds="http://schemas.openxmlformats.org/officeDocument/2006/customXml" ds:itemID="{D8D4BA24-CAB9-48BE-8D04-D6B00731C48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438C5A1-F3B1-49EE-9A96-25E50020C8E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1342</Words>
  <Characters>7651</Characters>
  <Application>Microsoft Office Word</Application>
  <DocSecurity>0</DocSecurity>
  <Lines>63</Lines>
  <Paragraphs>17</Paragraphs>
  <ScaleCrop>false</ScaleCrop>
  <Company>Marietta City Schools</Company>
  <LinksUpToDate>false</LinksUpToDate>
  <CharactersWithSpaces>8976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Subject Group Overview — [Course Name] [School Year]</dc:title>
  <dc:creator>Un-named</dc:creator>
  <dc:description>Marietta City Schools Subject Group Overview template</dc:description>
  <cp:lastModifiedBy>Herrero, Kelly</cp:lastModifiedBy>
  <cp:revision>2</cp:revision>
  <dcterms:created xsi:type="dcterms:W3CDTF">2026-07-02T20:57:00Z</dcterms:created>
  <dcterms:modified xsi:type="dcterms:W3CDTF">2026-07-02T20:57:00Z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0x01010012EC3F049A11AB4E897BB32542F6AB80</vt:lpwstr>
  </property>
  <property fmtid="{D5CDD505-2E9C-101B-9397-08002B2CF9AE}" pid="3" name="School">
    <vt:lpwstr>1</vt:lpwstr>
  </property>
  <property fmtid="{D5CDD505-2E9C-101B-9397-08002B2CF9AE}" pid="4" name="Course">
    <vt:lpwstr>37</vt:lpwstr>
  </property>
  <property fmtid="{D5CDD505-2E9C-101B-9397-08002B2CF9AE}" pid="6" name="FolderLink">
    <vt:lpwstr>, </vt:lpwstr>
  </property>
  <property fmtid="{D5CDD505-2E9C-101B-9397-08002B2CF9AE}" pid="7" name="DocType">
    <vt:lpwstr>SGO</vt:lpwstr>
  </property>
</Properties>
</file>